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8DCD9A" w14:textId="5E416432" w:rsidR="00872682" w:rsidRDefault="00000000">
      <w:pPr>
        <w:spacing w:line="360" w:lineRule="auto"/>
        <w:jc w:val="both"/>
        <w:rPr>
          <w:rFonts w:eastAsia="Times New Roman"/>
          <w:b/>
          <w:sz w:val="24"/>
          <w:szCs w:val="24"/>
        </w:rPr>
      </w:pPr>
      <w:r w:rsidRPr="00780690">
        <w:rPr>
          <w:rFonts w:eastAsia="Times New Roman"/>
          <w:b/>
          <w:sz w:val="24"/>
          <w:szCs w:val="24"/>
        </w:rPr>
        <w:t xml:space="preserve">Periferias “móveis”: seguindo experiências de realizadores (áudio)visuais nas </w:t>
      </w:r>
      <w:r w:rsidR="00877C5F" w:rsidRPr="00780690">
        <w:rPr>
          <w:rFonts w:eastAsia="Times New Roman"/>
          <w:b/>
          <w:sz w:val="24"/>
          <w:szCs w:val="24"/>
        </w:rPr>
        <w:t>margens da</w:t>
      </w:r>
      <w:r w:rsidRPr="00780690">
        <w:rPr>
          <w:rFonts w:eastAsia="Times New Roman"/>
          <w:b/>
          <w:sz w:val="24"/>
          <w:szCs w:val="24"/>
        </w:rPr>
        <w:t xml:space="preserve"> metrópole.</w:t>
      </w:r>
    </w:p>
    <w:p w14:paraId="7DAF4082" w14:textId="15741E35" w:rsidR="00780690" w:rsidRPr="00780690" w:rsidRDefault="00780690">
      <w:pPr>
        <w:spacing w:line="360" w:lineRule="auto"/>
        <w:jc w:val="both"/>
        <w:rPr>
          <w:rFonts w:eastAsia="Times New Roman"/>
          <w:b/>
          <w:sz w:val="24"/>
          <w:szCs w:val="24"/>
          <w:lang w:val="en-US"/>
        </w:rPr>
      </w:pPr>
      <w:r w:rsidRPr="00780690">
        <w:rPr>
          <w:rFonts w:eastAsia="Times New Roman"/>
          <w:b/>
          <w:sz w:val="24"/>
          <w:szCs w:val="24"/>
          <w:lang w:val="en-US"/>
        </w:rPr>
        <w:t>Ethnography in/of the World System: The Emergence of Multi-Sited Ethnography.</w:t>
      </w:r>
    </w:p>
    <w:p w14:paraId="42F21DC4" w14:textId="77777777" w:rsidR="00872682" w:rsidRPr="00780690" w:rsidRDefault="00872682">
      <w:pPr>
        <w:spacing w:line="360" w:lineRule="auto"/>
        <w:jc w:val="both"/>
        <w:rPr>
          <w:rFonts w:eastAsia="Times New Roman"/>
          <w:b/>
          <w:lang w:val="en-US"/>
        </w:rPr>
      </w:pPr>
    </w:p>
    <w:p w14:paraId="00000004" w14:textId="436DAA8D" w:rsidR="00B70E8D" w:rsidRDefault="00877C5F">
      <w:pPr>
        <w:spacing w:line="360" w:lineRule="auto"/>
        <w:jc w:val="both"/>
        <w:rPr>
          <w:rFonts w:eastAsia="Times New Roman"/>
          <w:iCs/>
        </w:rPr>
      </w:pPr>
      <w:r w:rsidRPr="00877C5F">
        <w:rPr>
          <w:rFonts w:eastAsia="Times New Roman"/>
          <w:iCs/>
        </w:rPr>
        <w:t>ADERALDO, Guilhermo. Periferias “móveis”: seguindo experiências de realizadores (áudio)visuais nas margens da metrópole. In: VIDAL E SOUZA, Candice; GUEDES, André. (org.). Antropologia das Mobilidades. Brasília: ABA Publicações, 2021. p. 459-486.</w:t>
      </w:r>
    </w:p>
    <w:p w14:paraId="5E99B82B" w14:textId="77777777" w:rsidR="00877C5F" w:rsidRPr="00872682" w:rsidRDefault="00877C5F">
      <w:pPr>
        <w:spacing w:line="360" w:lineRule="auto"/>
        <w:jc w:val="both"/>
        <w:rPr>
          <w:rFonts w:eastAsia="Times New Roman"/>
          <w:b/>
          <w:sz w:val="24"/>
          <w:szCs w:val="24"/>
        </w:rPr>
      </w:pPr>
    </w:p>
    <w:p w14:paraId="00000005" w14:textId="77777777" w:rsidR="00B70E8D" w:rsidRPr="00877C5F" w:rsidRDefault="00000000">
      <w:pPr>
        <w:spacing w:line="360" w:lineRule="auto"/>
        <w:jc w:val="both"/>
        <w:rPr>
          <w:rFonts w:eastAsia="Times New Roman"/>
          <w:b/>
          <w:bCs/>
        </w:rPr>
      </w:pPr>
      <w:r w:rsidRPr="00877C5F">
        <w:rPr>
          <w:rFonts w:eastAsia="Times New Roman"/>
          <w:b/>
          <w:bCs/>
        </w:rPr>
        <w:t>Diego dos Santos Moura Gonçalves</w:t>
      </w:r>
    </w:p>
    <w:p w14:paraId="00000006" w14:textId="77777777" w:rsidR="00B70E8D" w:rsidRPr="00877C5F" w:rsidRDefault="00000000">
      <w:pPr>
        <w:spacing w:line="360" w:lineRule="auto"/>
        <w:jc w:val="both"/>
        <w:rPr>
          <w:rFonts w:eastAsia="Times New Roman"/>
          <w:sz w:val="18"/>
          <w:szCs w:val="18"/>
        </w:rPr>
      </w:pPr>
      <w:r w:rsidRPr="00877C5F">
        <w:rPr>
          <w:rFonts w:eastAsia="Times New Roman"/>
          <w:sz w:val="18"/>
          <w:szCs w:val="18"/>
        </w:rPr>
        <w:t>Mestrando do Departamento de Sociologia da Universidade de São Paulo (USP)</w:t>
      </w:r>
    </w:p>
    <w:p w14:paraId="00000007" w14:textId="77777777" w:rsidR="00B70E8D" w:rsidRPr="00877C5F" w:rsidRDefault="00000000">
      <w:pPr>
        <w:spacing w:line="360" w:lineRule="auto"/>
        <w:jc w:val="both"/>
        <w:rPr>
          <w:rFonts w:eastAsia="Times New Roman"/>
          <w:b/>
          <w:sz w:val="18"/>
          <w:szCs w:val="18"/>
        </w:rPr>
      </w:pPr>
      <w:r w:rsidRPr="00877C5F">
        <w:rPr>
          <w:rFonts w:eastAsia="Times New Roman"/>
          <w:sz w:val="18"/>
          <w:szCs w:val="18"/>
        </w:rPr>
        <w:t>humano.pii@usp.br</w:t>
      </w:r>
    </w:p>
    <w:p w14:paraId="00000008" w14:textId="77777777" w:rsidR="00B70E8D" w:rsidRPr="00877C5F" w:rsidRDefault="00B70E8D">
      <w:pPr>
        <w:spacing w:line="360" w:lineRule="auto"/>
        <w:jc w:val="both"/>
        <w:rPr>
          <w:rFonts w:eastAsia="Times New Roman"/>
        </w:rPr>
      </w:pPr>
    </w:p>
    <w:p w14:paraId="00000009" w14:textId="77777777" w:rsidR="00B70E8D" w:rsidRPr="00877C5F" w:rsidRDefault="00000000">
      <w:pPr>
        <w:spacing w:line="360" w:lineRule="auto"/>
        <w:ind w:firstLine="1133"/>
        <w:jc w:val="both"/>
        <w:rPr>
          <w:rFonts w:eastAsia="Times New Roman"/>
        </w:rPr>
      </w:pPr>
      <w:r w:rsidRPr="00877C5F">
        <w:rPr>
          <w:rFonts w:eastAsia="Times New Roman"/>
        </w:rPr>
        <w:t>Guilhermo André Aderaldo é pesquisador e professor do Programa de Pós-Graduação em Antropologia na Universidade Federal de Pelotas-RS (PPGANT/UFPel). Doutor em Antropologia Social pela Universidade de São Paulo, onde também obteve o pós-doutorado. Realizou estágios em Paris e Buenos Aires. Seus estudos se concentram em temas como antropologia urbana e antropologia das mobilidades e participa, dentre outros grupos de pesquisa, do MTTM, da USP</w:t>
      </w:r>
      <w:r w:rsidRPr="00877C5F">
        <w:rPr>
          <w:rFonts w:eastAsia="Times New Roman"/>
          <w:vertAlign w:val="superscript"/>
        </w:rPr>
        <w:footnoteReference w:id="1"/>
      </w:r>
      <w:r w:rsidRPr="00877C5F">
        <w:rPr>
          <w:rFonts w:eastAsia="Times New Roman"/>
        </w:rPr>
        <w:t>.</w:t>
      </w:r>
    </w:p>
    <w:p w14:paraId="0000000A" w14:textId="77777777" w:rsidR="00B70E8D" w:rsidRPr="00877C5F" w:rsidRDefault="00000000">
      <w:pPr>
        <w:spacing w:line="360" w:lineRule="auto"/>
        <w:ind w:firstLine="1133"/>
        <w:jc w:val="both"/>
        <w:rPr>
          <w:rFonts w:eastAsia="Times New Roman"/>
        </w:rPr>
      </w:pPr>
      <w:r w:rsidRPr="00877C5F">
        <w:rPr>
          <w:rFonts w:eastAsia="Times New Roman"/>
        </w:rPr>
        <w:t xml:space="preserve">O artigo integra o livro </w:t>
      </w:r>
      <w:r w:rsidRPr="00877C5F">
        <w:rPr>
          <w:rFonts w:eastAsia="Times New Roman"/>
          <w:i/>
        </w:rPr>
        <w:t>Antropologia das Mobilidades</w:t>
      </w:r>
      <w:r w:rsidRPr="00877C5F">
        <w:rPr>
          <w:rFonts w:eastAsia="Times New Roman"/>
        </w:rPr>
        <w:t>, organizado por Candice V. e Souza e André D. Guedes, publicado em 2021, pela Associação Brasileira de Antropologia (ABA). A partir de relatos etnográficos de periferias urbanas, quilombos, terras indígenas, dentre outros referenciais, são postos em circulação estudos preocupados com os modos de fazer caminho, escapar das imobilizações, estabelecer vias e vínculos e criar lugares</w:t>
      </w:r>
      <w:r w:rsidRPr="00877C5F">
        <w:rPr>
          <w:rFonts w:eastAsia="Times New Roman"/>
          <w:vertAlign w:val="superscript"/>
        </w:rPr>
        <w:footnoteReference w:id="2"/>
      </w:r>
      <w:r w:rsidRPr="00877C5F">
        <w:rPr>
          <w:rFonts w:eastAsia="Times New Roman"/>
        </w:rPr>
        <w:t>.</w:t>
      </w:r>
    </w:p>
    <w:p w14:paraId="0000000B" w14:textId="77777777" w:rsidR="00B70E8D" w:rsidRPr="00877C5F" w:rsidRDefault="00B70E8D">
      <w:pPr>
        <w:spacing w:line="360" w:lineRule="auto"/>
        <w:ind w:firstLine="1133"/>
        <w:jc w:val="both"/>
        <w:rPr>
          <w:rFonts w:eastAsia="Times New Roman"/>
        </w:rPr>
      </w:pPr>
    </w:p>
    <w:p w14:paraId="0000000C" w14:textId="77777777" w:rsidR="00B70E8D" w:rsidRPr="00877C5F" w:rsidRDefault="00000000">
      <w:pPr>
        <w:spacing w:line="360" w:lineRule="auto"/>
        <w:ind w:firstLine="1133"/>
        <w:jc w:val="both"/>
        <w:rPr>
          <w:rFonts w:eastAsia="Times New Roman"/>
        </w:rPr>
      </w:pPr>
      <w:r w:rsidRPr="00877C5F">
        <w:rPr>
          <w:rFonts w:eastAsia="Times New Roman"/>
        </w:rPr>
        <w:t xml:space="preserve">O artigo de Aderaldo (2021) apresenta os esforços de sujeitos periféricos, por meio da produção audiovisual, em problematizar noções estereotipadas de “periferia”, definidas e geridas externamente. Longe de ser uma categoria topológica dada e passiva, que designa territórios em oposição binária aos centros urbanos, a periferia emerge como o fio condutor dos esforços intelectuais e intervenções coletivas por parte dos interlocutores do autor. Em suas produções, esses sujeitos empregam tecnologias digitais como ferramentas intelectuais “para a construção de novas referências identitárias, espaciais e cognitivas” (ibidem, p. 463). Trata-se de mapeamentos contra hegemônicos, cuja colaboração é fazer ver uma periferia definida de modo relacional, por entrecruzamentos, percebida em suas </w:t>
      </w:r>
      <w:r w:rsidRPr="00877C5F">
        <w:rPr>
          <w:rFonts w:eastAsia="Times New Roman"/>
        </w:rPr>
        <w:lastRenderedPageBreak/>
        <w:t>relações com o restante da cidade e os discursos que a abordam. Por exemplo, a falta de conexões diretas entre periferias seria um bom parâmetro de classificação destas como tal, em contraposição às regiões centrais, melhor conectadas – ao tentar sair, é que melhor se experiência a condição de estar dentro. Além disso, residir em um espaço enquadrado por agentes externos dentro de definições estanques, fixas e redutoras resulta em impasses significativos, como o discurso da “responsabilidade social” que ampara pessoas em situação de vulnerabilidade social aos custos da manutenção de relações de dependência. Nessa antropologia reflexiva, portanto, as ferramentas intelectuais da produção audiovisual e da pesquisa etnográfica fazem encontrar interlocutores e pesquisador na produção ativa de teorias, com as quais ambas as partes se posicionam intelectual e politicamente nos impasses que atravessam seus caminhos.</w:t>
      </w:r>
    </w:p>
    <w:p w14:paraId="0000000D" w14:textId="77777777" w:rsidR="00B70E8D" w:rsidRPr="00877C5F" w:rsidRDefault="00000000">
      <w:pPr>
        <w:spacing w:line="360" w:lineRule="auto"/>
        <w:ind w:firstLine="1133"/>
        <w:jc w:val="both"/>
        <w:rPr>
          <w:rFonts w:eastAsia="Times New Roman"/>
        </w:rPr>
      </w:pPr>
      <w:r w:rsidRPr="00877C5F">
        <w:rPr>
          <w:rFonts w:eastAsia="Times New Roman"/>
        </w:rPr>
        <w:t xml:space="preserve">A principal estratégia analítica adotada por Aderaldo consistiu em tomar a formulação nativa a respeito da periferia, elaborada pelos sujeitos de sua pesquisa, como um </w:t>
      </w:r>
      <w:r w:rsidRPr="00877C5F">
        <w:rPr>
          <w:rFonts w:eastAsia="Times New Roman"/>
          <w:i/>
        </w:rPr>
        <w:t>insight etnográfico</w:t>
      </w:r>
      <w:r w:rsidRPr="00877C5F">
        <w:rPr>
          <w:rFonts w:eastAsia="Times New Roman"/>
        </w:rPr>
        <w:t xml:space="preserve"> para reorganizar os dados de sua investigação. Os dados, assim, deixam de ser lidos de modo fragmentado para ganhar um tratamento atualizado, nem nativo e nem prévio à pesquisa, e sim um esquema mais geral para a formulação nativa contextual e mais concreto que a teoria inicial do pesquisador. De modo conjunto, o espaço é pensado e o pensamento é situado. Além disso, tais formulações nativas são, de modo muito interessante, elaboradas com o uso de dispositivos digitais para o mapeamento de processos sociais.</w:t>
      </w:r>
    </w:p>
    <w:p w14:paraId="0000000E" w14:textId="77777777" w:rsidR="00B70E8D" w:rsidRPr="00877C5F" w:rsidRDefault="00000000">
      <w:pPr>
        <w:spacing w:line="360" w:lineRule="auto"/>
        <w:ind w:firstLine="1133"/>
        <w:jc w:val="both"/>
        <w:rPr>
          <w:rFonts w:eastAsia="Times New Roman"/>
        </w:rPr>
      </w:pPr>
      <w:r w:rsidRPr="00877C5F">
        <w:rPr>
          <w:rFonts w:eastAsia="Times New Roman"/>
        </w:rPr>
        <w:t>Em minha pesquisa, investigo o uso de tecnologias de telemetria e videomonitoramento, no transporte rodoviário de cargas com caminhões, que pode ser descrito como um meio de mapear digitalmente processos sociais atrelados à rotina de trabalho dos caminhoneiros. A saber, são dispositivos para capturar informações provenientes de veículos, condutores e estradas – como localização, velocidade e condições de trânsito –, a fim de visualizar, interpretar e intervir remotamente no ambiente de trabalho móvel do caminhão (</w:t>
      </w:r>
      <w:proofErr w:type="spellStart"/>
      <w:r w:rsidRPr="00877C5F">
        <w:rPr>
          <w:rFonts w:eastAsia="Times New Roman"/>
        </w:rPr>
        <w:t>Boodlal</w:t>
      </w:r>
      <w:proofErr w:type="spellEnd"/>
      <w:r w:rsidRPr="00877C5F">
        <w:rPr>
          <w:rFonts w:eastAsia="Times New Roman"/>
        </w:rPr>
        <w:t xml:space="preserve"> &amp; Chiang, 2014; Levy, 2015; Berri, 2019; Abrahão, 2022). Dentre as principais preocupações logísticas endereçadas figuram o consumo de combustível, a manutenção dos veículos e o risco de acidentes e roubos (</w:t>
      </w:r>
      <w:proofErr w:type="spellStart"/>
      <w:r w:rsidRPr="00877C5F">
        <w:rPr>
          <w:rFonts w:eastAsia="Times New Roman"/>
        </w:rPr>
        <w:t>Scaramella</w:t>
      </w:r>
      <w:proofErr w:type="spellEnd"/>
      <w:r w:rsidRPr="00877C5F">
        <w:rPr>
          <w:rFonts w:eastAsia="Times New Roman"/>
        </w:rPr>
        <w:t xml:space="preserve">, 2004; </w:t>
      </w:r>
      <w:proofErr w:type="spellStart"/>
      <w:r w:rsidRPr="00877C5F">
        <w:rPr>
          <w:rFonts w:eastAsia="Times New Roman"/>
        </w:rPr>
        <w:t>Fontgaland</w:t>
      </w:r>
      <w:proofErr w:type="spellEnd"/>
      <w:r w:rsidRPr="00877C5F">
        <w:rPr>
          <w:rFonts w:eastAsia="Times New Roman"/>
        </w:rPr>
        <w:t>, 2018; CNT, 2019; 2022). Nesses termos, a pesquisa se propõe a fazer uma caracterização aprofundada da rotina desses trabalhadores, com o objetivo de compreender em que grau as adversidades e contingências enfrentadas ou esperadas se convertem na demanda por soluções do gênero, a fim de minimizar problemas na segurança, previsibilidade e rentabilidade das atividades do setor.</w:t>
      </w:r>
    </w:p>
    <w:p w14:paraId="0000000F" w14:textId="77777777" w:rsidR="00B70E8D" w:rsidRPr="00877C5F" w:rsidRDefault="00000000">
      <w:pPr>
        <w:spacing w:line="360" w:lineRule="auto"/>
        <w:ind w:firstLine="1133"/>
        <w:jc w:val="both"/>
        <w:rPr>
          <w:rFonts w:eastAsia="Times New Roman"/>
        </w:rPr>
      </w:pPr>
      <w:r w:rsidRPr="00877C5F">
        <w:rPr>
          <w:rFonts w:eastAsia="Times New Roman"/>
        </w:rPr>
        <w:t xml:space="preserve">Para aproximar ambos os objetos, produtores audiovisuais e transportadores de carga, a fim de extrair pontos de contato inspiradores, um primeiro movimento é considerar que, da mesma forma que os interlocutores de Aderaldo eram categorizados a partir do lugar que ocupavam, a periferia, os caminhoneiros ou estradeiros são socialmente percebidos </w:t>
      </w:r>
      <w:r w:rsidRPr="00877C5F">
        <w:rPr>
          <w:rFonts w:eastAsia="Times New Roman"/>
        </w:rPr>
        <w:lastRenderedPageBreak/>
        <w:t xml:space="preserve">segundo seus respectivos locais, o veículo e a estrada. Diferente dos motoristas que circulam no interior das cidades, o transporte de longas distâncias implica em uma vida transcorrida, quase integralmente, ao longo de um meio </w:t>
      </w:r>
      <w:proofErr w:type="spellStart"/>
      <w:r w:rsidRPr="00877C5F">
        <w:rPr>
          <w:rFonts w:eastAsia="Times New Roman"/>
        </w:rPr>
        <w:t>infraestruturado</w:t>
      </w:r>
      <w:proofErr w:type="spellEnd"/>
      <w:r w:rsidRPr="00877C5F">
        <w:rPr>
          <w:rFonts w:eastAsia="Times New Roman"/>
        </w:rPr>
        <w:t xml:space="preserve"> reservado exclusivamente aos automóveis. Se a maioria das pessoas percorrem uma rodovia em algum momento da vida, para os caminhoneiros, que nela permanecem a maior parte do tempo, de pontos de passagem, as estradas se tornam lugares de permanência. Logo, a excepcionalidade do caminhoneiro deriva de seu vínculo com o espaço reservado ao trânsito, de um </w:t>
      </w:r>
      <w:r w:rsidRPr="00877C5F">
        <w:rPr>
          <w:rFonts w:eastAsia="Times New Roman"/>
          <w:i/>
        </w:rPr>
        <w:t>habitar em movimento</w:t>
      </w:r>
      <w:r w:rsidRPr="00877C5F">
        <w:rPr>
          <w:rFonts w:eastAsia="Times New Roman"/>
        </w:rPr>
        <w:t xml:space="preserve"> tão destacado pelas mobilidades (Freire-Medeiros, 2024). Muito antes da globalização ou de uma virada teórica das mobilidades, o movimento, longe de ser uma exceção, já era a regra para essa categoria profissional – tipicamente moderna – e fonte de uma identidade distinta. Por sua vez, a questão que Aderaldo convida a enfrentar, ao tratar sobre as formas de pensar a periferia, é se esse local que caracteriza seus residentes deve ser ou não compreendido binariamente como um avesso estanque e separado da cidade. Mais do que isso, será que os próprios motoristas se compreendem habitando um mundo à parte e invertido?</w:t>
      </w:r>
    </w:p>
    <w:p w14:paraId="00000010" w14:textId="77777777" w:rsidR="00B70E8D" w:rsidRPr="00877C5F" w:rsidRDefault="00000000">
      <w:pPr>
        <w:spacing w:line="360" w:lineRule="auto"/>
        <w:ind w:firstLine="1133"/>
        <w:jc w:val="both"/>
        <w:rPr>
          <w:rFonts w:eastAsia="Times New Roman"/>
        </w:rPr>
      </w:pPr>
      <w:r w:rsidRPr="00877C5F">
        <w:rPr>
          <w:rFonts w:eastAsia="Times New Roman"/>
        </w:rPr>
        <w:t xml:space="preserve">Quanto a isso, </w:t>
      </w:r>
      <w:proofErr w:type="spellStart"/>
      <w:r w:rsidRPr="00877C5F">
        <w:rPr>
          <w:rFonts w:eastAsia="Times New Roman"/>
        </w:rPr>
        <w:t>Fontgaland</w:t>
      </w:r>
      <w:proofErr w:type="spellEnd"/>
      <w:r w:rsidRPr="00877C5F">
        <w:rPr>
          <w:rFonts w:eastAsia="Times New Roman"/>
        </w:rPr>
        <w:t xml:space="preserve"> (2018) aponta na literatura especializada, a partir dos anos 2000, um enfoque na vida </w:t>
      </w:r>
      <w:proofErr w:type="spellStart"/>
      <w:r w:rsidRPr="00877C5F">
        <w:rPr>
          <w:rFonts w:eastAsia="Times New Roman"/>
        </w:rPr>
        <w:t>multilocalizada</w:t>
      </w:r>
      <w:proofErr w:type="spellEnd"/>
      <w:r w:rsidRPr="00877C5F">
        <w:rPr>
          <w:rFonts w:eastAsia="Times New Roman"/>
        </w:rPr>
        <w:t xml:space="preserve"> das rotinas nas boleias dos caminhões, perspectiva que o mesmo adere e busca avançar ao retratar a domesticidade masculina sobre rodas, como meio de viabilizar uma permanência </w:t>
      </w:r>
      <w:proofErr w:type="spellStart"/>
      <w:r w:rsidRPr="00877C5F">
        <w:rPr>
          <w:rFonts w:eastAsia="Times New Roman"/>
        </w:rPr>
        <w:t>multilocalizada</w:t>
      </w:r>
      <w:proofErr w:type="spellEnd"/>
      <w:r w:rsidRPr="00877C5F">
        <w:rPr>
          <w:rFonts w:eastAsia="Times New Roman"/>
        </w:rPr>
        <w:t xml:space="preserve">. A intenção é fugir de uma descrição de fluxos inconstantes e descontínuos, completamente opostos a vida estacionada nas cidades. Por onde passam, no mínimo, os caminhoneiros representam elos passageiros, que no agregado da categoria se tornam um elemento móvel regular, dos mais capilarizados no território nacional. Logo, quais marcas mais duradouras são deixadas por eles nas diferentes paisagens que transbordam pelas estradas? Evidentemente, existe todo um equipamento social de beira de estrada, fixado para permitir a mobilidade daqueles que passam ou, pelo menos, converter tais deslocamentos em oportunidades de negócios. Um “mundo das rodovias”, com toda a sua rede peculiar de postos, restaurantes, pontos de descanso, grandes varejos, comércios ilícitos e policiamento. Ao olhar para esses suportes logísticos fixos, que viabilizam mobilidades mais intensivas, parece plausível que processos sociais semelhantes aos dos centros urbanos possam ser mapeados. A recusa da imagem de uma periferia relegada ao lado de fora do urbano, como discutida por Aderaldo (2021), também se aplicaria à imagem das rodovias? Será que, na visão dos próprios caminhoneiros, eles habitam algo mais do que uma sombra dos centros urbanos, do que um complemento indispensável, mas isolado no meio do caminho? Sob </w:t>
      </w:r>
      <w:proofErr w:type="spellStart"/>
      <w:r w:rsidRPr="00877C5F">
        <w:rPr>
          <w:rFonts w:eastAsia="Times New Roman"/>
        </w:rPr>
        <w:t>quais</w:t>
      </w:r>
      <w:proofErr w:type="spellEnd"/>
      <w:r w:rsidRPr="00877C5F">
        <w:rPr>
          <w:rFonts w:eastAsia="Times New Roman"/>
        </w:rPr>
        <w:t xml:space="preserve"> circunstâncias o profissional do volante pode se encontrar situado em locais ambivalentes, inadequados para ambos os compartimentos conceituais?</w:t>
      </w:r>
    </w:p>
    <w:p w14:paraId="00000011" w14:textId="77777777" w:rsidR="00B70E8D" w:rsidRPr="00877C5F" w:rsidRDefault="00000000">
      <w:pPr>
        <w:spacing w:line="360" w:lineRule="auto"/>
        <w:ind w:firstLine="1133"/>
        <w:jc w:val="both"/>
        <w:rPr>
          <w:rFonts w:eastAsia="Times New Roman"/>
        </w:rPr>
      </w:pPr>
      <w:r w:rsidRPr="00877C5F">
        <w:rPr>
          <w:rFonts w:eastAsia="Times New Roman"/>
        </w:rPr>
        <w:lastRenderedPageBreak/>
        <w:t xml:space="preserve">Na dissertação de </w:t>
      </w:r>
      <w:proofErr w:type="spellStart"/>
      <w:r w:rsidRPr="00877C5F">
        <w:rPr>
          <w:rFonts w:eastAsia="Times New Roman"/>
        </w:rPr>
        <w:t>Fontgaland</w:t>
      </w:r>
      <w:proofErr w:type="spellEnd"/>
      <w:r w:rsidRPr="00877C5F">
        <w:rPr>
          <w:rFonts w:eastAsia="Times New Roman"/>
        </w:rPr>
        <w:t xml:space="preserve"> (2018), essa ambiguidade aparece, sobretudo, nos padrões culturais, na conversão de veículos em escritórios e domicílios, uma espécie de improviso que emula a vida urbana. Entretanto, </w:t>
      </w:r>
      <w:proofErr w:type="gramStart"/>
      <w:r w:rsidRPr="00877C5F">
        <w:rPr>
          <w:rFonts w:eastAsia="Times New Roman"/>
        </w:rPr>
        <w:t>uma outra gama de zonas cinzentas podem</w:t>
      </w:r>
      <w:proofErr w:type="gramEnd"/>
      <w:r w:rsidRPr="00877C5F">
        <w:rPr>
          <w:rFonts w:eastAsia="Times New Roman"/>
        </w:rPr>
        <w:t xml:space="preserve"> ser apontadas quando o olhar se volta para o papel das tecnologias digitais nas últimas décadas. Para começar, cabe considerar como as mobilidades redefiniram, profunda e assimetricamente, as “experiências de tempo e espaço, presença e ausência, proximidade e distância” (Freire-Medeiros, 2024, p. 425). Sobretudo quando pensamos na profunda mudança ocorrida nas interações </w:t>
      </w:r>
      <w:proofErr w:type="spellStart"/>
      <w:r w:rsidRPr="00877C5F">
        <w:rPr>
          <w:rFonts w:eastAsia="Times New Roman"/>
        </w:rPr>
        <w:t>telemediadas</w:t>
      </w:r>
      <w:proofErr w:type="spellEnd"/>
      <w:r w:rsidRPr="00877C5F">
        <w:rPr>
          <w:rFonts w:eastAsia="Times New Roman"/>
        </w:rPr>
        <w:t xml:space="preserve">, cada vez mais equiparáveis com as de </w:t>
      </w:r>
      <w:proofErr w:type="spellStart"/>
      <w:r w:rsidRPr="00877C5F">
        <w:rPr>
          <w:rFonts w:eastAsia="Times New Roman"/>
        </w:rPr>
        <w:t>co-presença</w:t>
      </w:r>
      <w:proofErr w:type="spellEnd"/>
      <w:r w:rsidRPr="00877C5F">
        <w:rPr>
          <w:rFonts w:eastAsia="Times New Roman"/>
        </w:rPr>
        <w:t xml:space="preserve">, em termos de relevância empírica e analítica (ibidem). Para ilustrar essa questão é possível pensar nos caminhoneiros como uma espécie de </w:t>
      </w:r>
      <w:proofErr w:type="spellStart"/>
      <w:r w:rsidRPr="00877C5F">
        <w:rPr>
          <w:rFonts w:eastAsia="Times New Roman"/>
        </w:rPr>
        <w:t>proto-</w:t>
      </w:r>
      <w:r w:rsidRPr="00877C5F">
        <w:rPr>
          <w:rFonts w:eastAsia="Times New Roman"/>
          <w:i/>
        </w:rPr>
        <w:t>homeoffice</w:t>
      </w:r>
      <w:proofErr w:type="spellEnd"/>
      <w:r w:rsidRPr="00877C5F">
        <w:rPr>
          <w:rFonts w:eastAsia="Times New Roman"/>
        </w:rPr>
        <w:t>, primeiro, pela necessária conversão de locais de trabalho em residência móvel e, segundo, pela distância física entre os motoristas e a supervisão. Ambas telefonia e internet móveis são fenômenos relativamente recentes, ainda mais considerando a expansão da cobertura das mesmas, logo, como se modificou a forma de reportar o andamento das viagens desde a época dos orelhões? Essa aproximação virtual entre motoristas e instâncias supervisoras – com celulares, rastreadores, aplicativos de navegação, medidores de desempenho (telemetria) –, ademais, ocorre em uma categoria com idade média de 44,8 anos e 19 anos de experiência (CNT, 2019), ou seja, onde boa parte dos profissionais acompanharam as transformações advindas dessa progressiva digitalização dos processos sociais. Nesse sentido, mais do que alterar as percepções sobre controle e autonomia durante a jornada de trabalho, cabe investigar como a inovação tecnológica das últimas décadas alterou a vida nas estradas.</w:t>
      </w:r>
    </w:p>
    <w:p w14:paraId="00000012" w14:textId="77777777" w:rsidR="00B70E8D" w:rsidRPr="00877C5F" w:rsidRDefault="00000000">
      <w:pPr>
        <w:spacing w:line="360" w:lineRule="auto"/>
        <w:ind w:firstLine="1133"/>
        <w:jc w:val="both"/>
        <w:rPr>
          <w:rFonts w:eastAsia="Times New Roman"/>
        </w:rPr>
      </w:pPr>
      <w:r w:rsidRPr="00877C5F">
        <w:rPr>
          <w:rFonts w:eastAsia="Times New Roman"/>
        </w:rPr>
        <w:t xml:space="preserve">Inspirado em Tim </w:t>
      </w:r>
      <w:proofErr w:type="spellStart"/>
      <w:r w:rsidRPr="00877C5F">
        <w:rPr>
          <w:rFonts w:eastAsia="Times New Roman"/>
        </w:rPr>
        <w:t>Ingold</w:t>
      </w:r>
      <w:proofErr w:type="spellEnd"/>
      <w:r w:rsidRPr="00877C5F">
        <w:rPr>
          <w:rFonts w:eastAsia="Times New Roman"/>
        </w:rPr>
        <w:t xml:space="preserve">, Aderaldo (2021) define a periferia enquanto uma conjunção de traçados, uma soma peculiar de caminhos que conectam populações e outras espacialidades. Uma definição ainda mais literal quando se trata de “territórios rodoviários”. Entretanto, o mapeamento de tais espacialidades – seja por instituições públicas e privadas ou pelos próprios caminhoneiros – precisa considerar a multiplicação dos caminhos digitais, com todas as suas implicações. Por exemplo, as relações à distância estariam se tornando mais contínuas devido ao ambiente virtual? Isso diminuiria a saudade ou aumentaria as preocupações? Seria o caso de uma presença familiar mais ativa, ainda que </w:t>
      </w:r>
      <w:proofErr w:type="spellStart"/>
      <w:r w:rsidRPr="00877C5F">
        <w:rPr>
          <w:rFonts w:eastAsia="Times New Roman"/>
        </w:rPr>
        <w:t>telemediada</w:t>
      </w:r>
      <w:proofErr w:type="spellEnd"/>
      <w:r w:rsidRPr="00877C5F">
        <w:rPr>
          <w:rFonts w:eastAsia="Times New Roman"/>
        </w:rPr>
        <w:t xml:space="preserve">, por parte de muitos dos residentes das estradas? Ou, de modo mais geral, na vida </w:t>
      </w:r>
      <w:proofErr w:type="spellStart"/>
      <w:r w:rsidRPr="00877C5F">
        <w:rPr>
          <w:rFonts w:eastAsia="Times New Roman"/>
        </w:rPr>
        <w:t>multilocalizada</w:t>
      </w:r>
      <w:proofErr w:type="spellEnd"/>
      <w:r w:rsidRPr="00877C5F">
        <w:rPr>
          <w:rFonts w:eastAsia="Times New Roman"/>
        </w:rPr>
        <w:t xml:space="preserve"> dos caminhoneiros, estarão eles também marcando presença em “salas virtuais” comuns aos residentes urbanos?</w:t>
      </w:r>
    </w:p>
    <w:p w14:paraId="00000013" w14:textId="77777777" w:rsidR="00B70E8D" w:rsidRPr="00877C5F" w:rsidRDefault="00000000">
      <w:pPr>
        <w:spacing w:line="360" w:lineRule="auto"/>
        <w:ind w:firstLine="1133"/>
        <w:jc w:val="both"/>
        <w:rPr>
          <w:rFonts w:eastAsia="Times New Roman"/>
        </w:rPr>
      </w:pPr>
      <w:r w:rsidRPr="00877C5F">
        <w:rPr>
          <w:rFonts w:eastAsia="Times New Roman"/>
        </w:rPr>
        <w:t>Além da peculiar localização das atividades profissionais ou consequente distância entre as relações interpessoais, cabe acrescentar um outro possível eixo da rotina: o consumo.</w:t>
      </w:r>
    </w:p>
    <w:p w14:paraId="00000014" w14:textId="77777777" w:rsidR="00B70E8D" w:rsidRPr="00877C5F" w:rsidRDefault="00000000">
      <w:pPr>
        <w:spacing w:line="360" w:lineRule="auto"/>
        <w:ind w:firstLine="1133"/>
        <w:jc w:val="both"/>
        <w:rPr>
          <w:rFonts w:eastAsia="Times New Roman"/>
        </w:rPr>
      </w:pPr>
      <w:r w:rsidRPr="00877C5F">
        <w:rPr>
          <w:rFonts w:eastAsia="Times New Roman"/>
        </w:rPr>
        <w:t xml:space="preserve">Com semelhante intenção de se afastar de imagens de periferias isoladas, concebidas por narrativas da exclusão como universos da pobreza circunscritos em mundos </w:t>
      </w:r>
      <w:r w:rsidRPr="00877C5F">
        <w:rPr>
          <w:rFonts w:eastAsia="Times New Roman"/>
        </w:rPr>
        <w:lastRenderedPageBreak/>
        <w:t xml:space="preserve">à parte, Vera Telles (2006) enfatiza a importância da expansão e diversificação dos grandes equipamentos do consumo, a exemplo dos </w:t>
      </w:r>
      <w:r w:rsidRPr="00877C5F">
        <w:rPr>
          <w:rFonts w:eastAsia="Times New Roman"/>
          <w:i/>
        </w:rPr>
        <w:t>shoppings centers</w:t>
      </w:r>
      <w:r w:rsidRPr="00877C5F">
        <w:rPr>
          <w:rFonts w:eastAsia="Times New Roman"/>
        </w:rPr>
        <w:t>, que passam a promover uma certa integração social dos jovens de periferia via um sedutor consumismo. A experiência das gerações mais jovens ganharia legibilidade no encontro da crise do trabalho fordista com a expansão do consumo – com todas as suas desigualdades. Processos que tencionariam o binarismo centro-periferia, revelando um novo modo de ver o social em clivagens porosas e transbordantes. A esse respeito, a literatura converge para um aumento na instabilidade e precarização dos postos de trabalho no setor de transporte, contudo, não parece haver igual atenção quanto a inserção social desses profissionais enquanto consumidores, ainda que em posição desvantajosa. Quais os hábitos dos consumidores que habitam as estradas? Quais equipamentos de consumo são mais acessíveis, seja no entorno rodoviário, em meio a jornada, durante as folgas ou virtualmente? No ato de consumir ou ser interceptado por anúncios, a identidade da categoria se reforça ou esses profissionais se inserem em outros nichos populacionais?  Como o acesso ao consumo afeta a percepção sobre o aproveitamento do tempo de folga e lazer? Fora que a questão do consumo implica não apenas um esforço dos caminhoneiros em se conectar com o mundo, mas também daqueles que desejam chegar até eles.</w:t>
      </w:r>
    </w:p>
    <w:p w14:paraId="00000015" w14:textId="77777777" w:rsidR="00B70E8D" w:rsidRPr="00877C5F" w:rsidRDefault="00000000">
      <w:pPr>
        <w:spacing w:line="360" w:lineRule="auto"/>
        <w:ind w:firstLine="1133"/>
        <w:jc w:val="both"/>
        <w:rPr>
          <w:rFonts w:eastAsia="Times New Roman"/>
        </w:rPr>
      </w:pPr>
      <w:r w:rsidRPr="00877C5F">
        <w:rPr>
          <w:rFonts w:eastAsia="Times New Roman"/>
        </w:rPr>
        <w:t xml:space="preserve">De volta ao mapeamento de processos sociais situados, dada a identificação de possíveis zonas cinzentas alargadas pelos dispositivos digitais, vale considerar novamente os paralelos entre produtores audiovisuais e motoristas. No primeiro caso, sujeitos periféricos buscam ativamente compreender a si mesmos ao refletir sobre seus locais de pertencimento dentro da cidade, um exercício que impele a busca por ferramentas intelectuais. Agora, o que se pode dizer no caso dos caminhoneiros, em matéria de reconhecimento e interpretação do espaço por onde circulam, ou quanto ao emprego de ferramentas intelectuais para tanto? Uma boa forma de enfrentar essa questão é acompanhar a afirmação de Matteo </w:t>
      </w:r>
      <w:proofErr w:type="spellStart"/>
      <w:r w:rsidRPr="00877C5F">
        <w:rPr>
          <w:rFonts w:eastAsia="Times New Roman"/>
        </w:rPr>
        <w:t>Pasquinelli</w:t>
      </w:r>
      <w:proofErr w:type="spellEnd"/>
      <w:r w:rsidRPr="00877C5F">
        <w:rPr>
          <w:rFonts w:eastAsia="Times New Roman"/>
        </w:rPr>
        <w:t xml:space="preserve"> (2023), quando o autor sustenta que todo trabalho é intelectual, mesmo o trabalho manual e desqualificado dos caminhoneiros. Nesse sentido, na verdade, os empreendimentos para desenvolvimento de direção autônoma evidenciariam, cada vez mais, a carga de inteligência presente nessa atividade. O autor vai além ao dizer que não só toda atividade produtiva tem seu aspecto de trabalho mental, como esse sempre é um aspecto mais importante do que o dispêndio de força física, já que sempre é preciso direcionar a força de modo apropriado. Portanto, o fato de volantes não serem escrivaninhas, não exclui o esforço mental inerente à vida nas estradas. Por outro lado, evidentemente, parece plausível supor que os caminhoneiros não se reconheçam enquanto pensadores da estrada e nem considerem que compreender o que nelas se passa seja um engajamento intelectual. Nesse sentido, as suas formulações sobre as territorialidades por onde circulam talvez exijam uma leitura a contrapelo. De qualquer modo, é indispensável saber por </w:t>
      </w:r>
      <w:proofErr w:type="spellStart"/>
      <w:r w:rsidRPr="00877C5F">
        <w:rPr>
          <w:rFonts w:eastAsia="Times New Roman"/>
        </w:rPr>
        <w:t>quais</w:t>
      </w:r>
      <w:proofErr w:type="spellEnd"/>
      <w:r w:rsidRPr="00877C5F">
        <w:rPr>
          <w:rFonts w:eastAsia="Times New Roman"/>
        </w:rPr>
        <w:t xml:space="preserve"> caminhos seguir, onde </w:t>
      </w:r>
      <w:r w:rsidRPr="00877C5F">
        <w:rPr>
          <w:rFonts w:eastAsia="Times New Roman"/>
        </w:rPr>
        <w:lastRenderedPageBreak/>
        <w:t>abastecer ou pernoitar, sobre quais condições climáticas prosseguir, ou quais regiões são mais propensas a acidentes e roubos. A aquisição desses conhecimentos estritamente necessários para realizar os fretes deve beneficiar-se e muito de diversos dispositivos digitais, a serem investigados. Se rastreadores, telemetria e câmeras de vídeo são formas de mapeamento que privilegiam agentes externos, a atividade sempre se apoiou em uma compreensão nativa sobre os caminhos a serem atravessados.</w:t>
      </w:r>
    </w:p>
    <w:p w14:paraId="00000016" w14:textId="77777777" w:rsidR="00B70E8D" w:rsidRPr="00877C5F" w:rsidRDefault="00000000">
      <w:pPr>
        <w:spacing w:line="360" w:lineRule="auto"/>
        <w:ind w:firstLine="1133"/>
        <w:jc w:val="both"/>
        <w:rPr>
          <w:rFonts w:eastAsia="Times New Roman"/>
        </w:rPr>
      </w:pPr>
      <w:r w:rsidRPr="00877C5F">
        <w:rPr>
          <w:rFonts w:eastAsia="Times New Roman"/>
        </w:rPr>
        <w:t xml:space="preserve">Indo além do estritamente profissional, a experiência de viajar e desfrutar o caminho, de fazer um certo turismo paralelo, pode usufruir e muito de câmeras, álbuns em redes sociais, indicações de bons lugares para conhecer ou reabastecer as necessidades cotidianas. Se a telemetria avalia o desempenho dos caminhoneiros, como esses últimos avaliam os demais trabalhadores e equipamentos disponíveis ao longo do caminho? Sobretudo quando pensamos na necessidade dos estabelecimentos em aparecer no </w:t>
      </w:r>
      <w:r w:rsidRPr="00877C5F">
        <w:rPr>
          <w:rFonts w:eastAsia="Times New Roman"/>
          <w:i/>
        </w:rPr>
        <w:t>Google Maps</w:t>
      </w:r>
      <w:r w:rsidRPr="00877C5F">
        <w:rPr>
          <w:rFonts w:eastAsia="Times New Roman"/>
        </w:rPr>
        <w:t>, acrescidos de avaliações e comentários públicos feitos pela clientela. Assim, ainda que esses mapeamentos de processos sociais não sejam socializados na forma de filmes independentes, é pertinente investigar as formas próprias de elaboração e socialização de tais mapas, no contexto dos caminhoneiros. Em especial, para vislumbrar em tais “mapas” os acúmulos teóricos próprios a esses interlocutores.</w:t>
      </w:r>
    </w:p>
    <w:p w14:paraId="00000017" w14:textId="77777777" w:rsidR="00B70E8D" w:rsidRPr="00877C5F" w:rsidRDefault="00000000">
      <w:pPr>
        <w:spacing w:line="360" w:lineRule="auto"/>
        <w:ind w:firstLine="1133"/>
        <w:jc w:val="both"/>
        <w:rPr>
          <w:rFonts w:eastAsia="Times New Roman"/>
        </w:rPr>
      </w:pPr>
      <w:r w:rsidRPr="00877C5F">
        <w:rPr>
          <w:rFonts w:eastAsia="Times New Roman"/>
        </w:rPr>
        <w:t>O texto de Aderaldo (2021) convida, além do mais, a pensar quem define as fronteiras entre espaços e em benefício de quais interesses. Quanto a isso, por exemplo, seria possível apreender definições do ambiente rodoviário que restringem outras possibilidades de vivenciar tais cenários? Essas espacialidades são adequadas em vistas de quais sujeitos e rotinas? Haveria espaço para a vida doméstica dos caminhoneiros ou tudo seria pensado em prol do transporte de cargas ou da circulação mais esporádica de turistas? Qual a importância do comércio à beira de rodovia para as populações das proximidades, quanto às oportunidades de trabalho, consumo e convívio com viajantes?</w:t>
      </w:r>
    </w:p>
    <w:p w14:paraId="00000018" w14:textId="77777777" w:rsidR="00B70E8D" w:rsidRPr="00877C5F" w:rsidRDefault="00000000">
      <w:pPr>
        <w:spacing w:line="360" w:lineRule="auto"/>
        <w:ind w:firstLine="1133"/>
        <w:jc w:val="both"/>
        <w:rPr>
          <w:rFonts w:eastAsia="Times New Roman"/>
        </w:rPr>
      </w:pPr>
      <w:r w:rsidRPr="00877C5F">
        <w:rPr>
          <w:rFonts w:eastAsia="Times New Roman"/>
        </w:rPr>
        <w:t xml:space="preserve">Por fim, é difícil antecipar se o levantamento de documentação empírica resultará em algo como um </w:t>
      </w:r>
      <w:r w:rsidRPr="00877C5F">
        <w:rPr>
          <w:rFonts w:eastAsia="Times New Roman"/>
          <w:i/>
        </w:rPr>
        <w:t>insight etnográfico</w:t>
      </w:r>
      <w:r w:rsidRPr="00877C5F">
        <w:rPr>
          <w:rFonts w:eastAsia="Times New Roman"/>
        </w:rPr>
        <w:t xml:space="preserve">, capaz de iluminar um esquema teórico inovador para a leitura dos dados obtidos, ainda assim, estar atento para as formas nativas de definir espacialidades parece uma boa pista. Sem contar a probabilidade de pessoas, que vivem tanto tempo percorrendo autopistas, alçarem tais espaços à condição de filtros do olhar ou de </w:t>
      </w:r>
      <w:proofErr w:type="gramStart"/>
      <w:r w:rsidRPr="00877C5F">
        <w:rPr>
          <w:rFonts w:eastAsia="Times New Roman"/>
        </w:rPr>
        <w:t>algo  equivalente</w:t>
      </w:r>
      <w:proofErr w:type="gramEnd"/>
      <w:r w:rsidRPr="00877C5F">
        <w:rPr>
          <w:rFonts w:eastAsia="Times New Roman"/>
        </w:rPr>
        <w:t xml:space="preserve"> à </w:t>
      </w:r>
      <w:proofErr w:type="spellStart"/>
      <w:r w:rsidRPr="00877C5F">
        <w:rPr>
          <w:rFonts w:eastAsia="Times New Roman"/>
        </w:rPr>
        <w:t>posicionalidade</w:t>
      </w:r>
      <w:proofErr w:type="spellEnd"/>
      <w:r w:rsidRPr="00877C5F">
        <w:rPr>
          <w:rFonts w:eastAsia="Times New Roman"/>
        </w:rPr>
        <w:t xml:space="preserve"> epistêmica periférica.</w:t>
      </w:r>
    </w:p>
    <w:p w14:paraId="00000019" w14:textId="77777777" w:rsidR="00B70E8D" w:rsidRPr="00877C5F" w:rsidRDefault="00B70E8D">
      <w:pPr>
        <w:spacing w:line="360" w:lineRule="auto"/>
        <w:ind w:firstLine="1133"/>
        <w:jc w:val="both"/>
        <w:rPr>
          <w:rFonts w:eastAsia="Times New Roman"/>
        </w:rPr>
      </w:pPr>
    </w:p>
    <w:p w14:paraId="0000001A" w14:textId="77777777" w:rsidR="00B70E8D" w:rsidRPr="00877C5F" w:rsidRDefault="00000000">
      <w:pPr>
        <w:spacing w:line="360" w:lineRule="auto"/>
        <w:jc w:val="both"/>
        <w:rPr>
          <w:rFonts w:eastAsia="Times New Roman"/>
          <w:b/>
        </w:rPr>
      </w:pPr>
      <w:r w:rsidRPr="00877C5F">
        <w:rPr>
          <w:rFonts w:eastAsia="Times New Roman"/>
          <w:b/>
        </w:rPr>
        <w:t>Referências bibliográficas:</w:t>
      </w:r>
    </w:p>
    <w:p w14:paraId="0000001B" w14:textId="77777777" w:rsidR="00B70E8D" w:rsidRPr="00877C5F" w:rsidRDefault="00B70E8D">
      <w:pPr>
        <w:spacing w:line="360" w:lineRule="auto"/>
        <w:jc w:val="both"/>
        <w:rPr>
          <w:rFonts w:eastAsia="Times New Roman"/>
        </w:rPr>
      </w:pPr>
    </w:p>
    <w:p w14:paraId="0000001C" w14:textId="77777777" w:rsidR="00B70E8D" w:rsidRPr="00877C5F" w:rsidRDefault="00000000" w:rsidP="00AB5160">
      <w:pPr>
        <w:spacing w:line="360" w:lineRule="auto"/>
        <w:jc w:val="both"/>
        <w:rPr>
          <w:rFonts w:eastAsia="Times New Roman"/>
        </w:rPr>
      </w:pPr>
      <w:r w:rsidRPr="00877C5F">
        <w:rPr>
          <w:rFonts w:eastAsia="Times New Roman"/>
        </w:rPr>
        <w:t>ABRAHÃO, Luciano. Telemática em Nuvem e Ciência de Dados como Ferramenta de Gestão de Veículos Comerciais. Dissertação (Mestrado em Ciências) – Universidade de São Paulo, São Paulo, 2022.</w:t>
      </w:r>
    </w:p>
    <w:p w14:paraId="0000001D" w14:textId="77777777" w:rsidR="00B70E8D" w:rsidRPr="00877C5F" w:rsidRDefault="00000000" w:rsidP="00AB5160">
      <w:pPr>
        <w:spacing w:line="360" w:lineRule="auto"/>
        <w:jc w:val="both"/>
        <w:rPr>
          <w:rFonts w:eastAsia="Times New Roman"/>
        </w:rPr>
      </w:pPr>
      <w:r w:rsidRPr="00877C5F">
        <w:rPr>
          <w:rFonts w:eastAsia="Times New Roman"/>
        </w:rPr>
        <w:lastRenderedPageBreak/>
        <w:t xml:space="preserve">ADERALDO, Guilhermo. Periferias “móveis”: seguindo experiências de realizadores (áudio)visuais nas </w:t>
      </w:r>
      <w:proofErr w:type="gramStart"/>
      <w:r w:rsidRPr="00877C5F">
        <w:rPr>
          <w:rFonts w:eastAsia="Times New Roman"/>
        </w:rPr>
        <w:t>margens  da</w:t>
      </w:r>
      <w:proofErr w:type="gramEnd"/>
      <w:r w:rsidRPr="00877C5F">
        <w:rPr>
          <w:rFonts w:eastAsia="Times New Roman"/>
        </w:rPr>
        <w:t xml:space="preserve"> metrópole. In: Souza, Candice Vidal &amp; Guedes, André D. (</w:t>
      </w:r>
      <w:proofErr w:type="spellStart"/>
      <w:r w:rsidRPr="00877C5F">
        <w:rPr>
          <w:rFonts w:eastAsia="Times New Roman"/>
        </w:rPr>
        <w:t>orgs</w:t>
      </w:r>
      <w:proofErr w:type="spellEnd"/>
      <w:r w:rsidRPr="00877C5F">
        <w:rPr>
          <w:rFonts w:eastAsia="Times New Roman"/>
        </w:rPr>
        <w:t xml:space="preserve">.). Antropologia das mobilidades. </w:t>
      </w:r>
      <w:proofErr w:type="gramStart"/>
      <w:r w:rsidRPr="00877C5F">
        <w:rPr>
          <w:rFonts w:eastAsia="Times New Roman"/>
        </w:rPr>
        <w:t>Brasília,  ABA</w:t>
      </w:r>
      <w:proofErr w:type="gramEnd"/>
      <w:r w:rsidRPr="00877C5F">
        <w:rPr>
          <w:rFonts w:eastAsia="Times New Roman"/>
        </w:rPr>
        <w:t xml:space="preserve"> Produções, 2021.</w:t>
      </w:r>
    </w:p>
    <w:p w14:paraId="0000001E" w14:textId="77777777" w:rsidR="00B70E8D" w:rsidRPr="00877C5F" w:rsidRDefault="00000000" w:rsidP="00AB5160">
      <w:pPr>
        <w:spacing w:line="360" w:lineRule="auto"/>
        <w:jc w:val="both"/>
        <w:rPr>
          <w:rFonts w:eastAsia="Times New Roman"/>
        </w:rPr>
      </w:pPr>
      <w:r w:rsidRPr="00877C5F">
        <w:rPr>
          <w:rFonts w:eastAsia="Times New Roman"/>
        </w:rPr>
        <w:t>BERRI, Rafael. Sistema ADAS para identificação de distrações e perturbações do motorista na condução de veículos. Tese (Doutorado em Ciências de Computação e Matemática Computacional) – Universidade de São Paulo, São Carlos, 2019.</w:t>
      </w:r>
    </w:p>
    <w:p w14:paraId="0000001F" w14:textId="77777777" w:rsidR="00B70E8D" w:rsidRPr="00877C5F" w:rsidRDefault="00000000" w:rsidP="00AB5160">
      <w:pPr>
        <w:spacing w:line="360" w:lineRule="auto"/>
        <w:jc w:val="both"/>
        <w:rPr>
          <w:rFonts w:eastAsia="Times New Roman"/>
        </w:rPr>
      </w:pPr>
      <w:r w:rsidRPr="00877C5F">
        <w:rPr>
          <w:rFonts w:eastAsia="Times New Roman"/>
          <w:lang w:val="en-US"/>
        </w:rPr>
        <w:t xml:space="preserve">BOODLAL, L. &amp; CHIANG, K. Study of the Impact of a Telematics System on Safe and Fuel-efficient Driving in Trucks. </w:t>
      </w:r>
      <w:r w:rsidRPr="00877C5F">
        <w:rPr>
          <w:rFonts w:eastAsia="Times New Roman"/>
        </w:rPr>
        <w:t xml:space="preserve">U. S. </w:t>
      </w:r>
      <w:proofErr w:type="spellStart"/>
      <w:r w:rsidRPr="00877C5F">
        <w:rPr>
          <w:rFonts w:eastAsia="Times New Roman"/>
        </w:rPr>
        <w:t>Department</w:t>
      </w:r>
      <w:proofErr w:type="spellEnd"/>
      <w:r w:rsidRPr="00877C5F">
        <w:rPr>
          <w:rFonts w:eastAsia="Times New Roman"/>
        </w:rPr>
        <w:t xml:space="preserve"> of Transportation, 2014.</w:t>
      </w:r>
    </w:p>
    <w:p w14:paraId="00000020" w14:textId="77777777" w:rsidR="00B70E8D" w:rsidRPr="00877C5F" w:rsidRDefault="00000000" w:rsidP="00AB5160">
      <w:pPr>
        <w:spacing w:line="360" w:lineRule="auto"/>
        <w:jc w:val="both"/>
        <w:rPr>
          <w:rFonts w:eastAsia="Times New Roman"/>
        </w:rPr>
      </w:pPr>
      <w:r w:rsidRPr="00877C5F">
        <w:rPr>
          <w:rFonts w:eastAsia="Times New Roman"/>
        </w:rPr>
        <w:t>CNT. Pesquisa CNT perfil dos caminhoneiros 2019. Brasília, 2019.</w:t>
      </w:r>
    </w:p>
    <w:p w14:paraId="00000021" w14:textId="77777777" w:rsidR="00B70E8D" w:rsidRPr="00877C5F" w:rsidRDefault="00000000" w:rsidP="00AB5160">
      <w:pPr>
        <w:spacing w:line="360" w:lineRule="auto"/>
        <w:jc w:val="both"/>
        <w:rPr>
          <w:rFonts w:eastAsia="Times New Roman"/>
        </w:rPr>
      </w:pPr>
      <w:r w:rsidRPr="00877C5F">
        <w:rPr>
          <w:rFonts w:eastAsia="Times New Roman"/>
        </w:rPr>
        <w:t>CNT. Anuário CNT do Transporte 2022: Estatísticas Consolidadas. 2022.</w:t>
      </w:r>
    </w:p>
    <w:p w14:paraId="00000022" w14:textId="77777777" w:rsidR="00B70E8D" w:rsidRPr="00877C5F" w:rsidRDefault="00000000" w:rsidP="00AB5160">
      <w:pPr>
        <w:spacing w:line="360" w:lineRule="auto"/>
        <w:jc w:val="both"/>
        <w:rPr>
          <w:rFonts w:eastAsia="Times New Roman"/>
        </w:rPr>
      </w:pPr>
      <w:r w:rsidRPr="00877C5F">
        <w:rPr>
          <w:rFonts w:eastAsia="Times New Roman"/>
        </w:rPr>
        <w:t>FONTGALAND, Arthur. Caminhoneiros, caminhos e caminhões: uma etnografia sobre mobilidades nas estradas. Dissertação (Mestrado em Antropologia Social) – Universidade de São Paulo, São Paulo, 2018.</w:t>
      </w:r>
    </w:p>
    <w:p w14:paraId="00000023" w14:textId="77777777" w:rsidR="00B70E8D" w:rsidRPr="00877C5F" w:rsidRDefault="00000000" w:rsidP="00AB5160">
      <w:pPr>
        <w:spacing w:line="360" w:lineRule="auto"/>
        <w:jc w:val="both"/>
        <w:rPr>
          <w:rFonts w:eastAsia="Times New Roman"/>
          <w:lang w:val="en-US"/>
        </w:rPr>
      </w:pPr>
      <w:r w:rsidRPr="00877C5F">
        <w:rPr>
          <w:rFonts w:eastAsia="Times New Roman"/>
        </w:rPr>
        <w:t xml:space="preserve">FREIRE-MEDEIROS, Bianca. A metrópole do capital de rede: mobilidades socioespaciais e iniquidades urbanas. </w:t>
      </w:r>
      <w:proofErr w:type="spellStart"/>
      <w:r w:rsidRPr="00877C5F">
        <w:rPr>
          <w:rFonts w:eastAsia="Times New Roman"/>
          <w:lang w:val="en-US"/>
        </w:rPr>
        <w:t>Cadernos</w:t>
      </w:r>
      <w:proofErr w:type="spellEnd"/>
      <w:r w:rsidRPr="00877C5F">
        <w:rPr>
          <w:rFonts w:eastAsia="Times New Roman"/>
          <w:lang w:val="en-US"/>
        </w:rPr>
        <w:t xml:space="preserve"> </w:t>
      </w:r>
      <w:proofErr w:type="spellStart"/>
      <w:r w:rsidRPr="00877C5F">
        <w:rPr>
          <w:rFonts w:eastAsia="Times New Roman"/>
          <w:lang w:val="en-US"/>
        </w:rPr>
        <w:t>Metrópole</w:t>
      </w:r>
      <w:proofErr w:type="spellEnd"/>
      <w:r w:rsidRPr="00877C5F">
        <w:rPr>
          <w:rFonts w:eastAsia="Times New Roman"/>
          <w:lang w:val="en-US"/>
        </w:rPr>
        <w:t>. São Paulo, v. 26, n. 60, pp. 423- 442, 2024.</w:t>
      </w:r>
    </w:p>
    <w:p w14:paraId="00000024" w14:textId="77777777" w:rsidR="00B70E8D" w:rsidRPr="00877C5F" w:rsidRDefault="00000000" w:rsidP="00AB5160">
      <w:pPr>
        <w:spacing w:line="360" w:lineRule="auto"/>
        <w:jc w:val="both"/>
        <w:rPr>
          <w:rFonts w:eastAsia="Times New Roman"/>
          <w:lang w:val="en-US"/>
        </w:rPr>
      </w:pPr>
      <w:r w:rsidRPr="00877C5F">
        <w:rPr>
          <w:rFonts w:eastAsia="Times New Roman"/>
          <w:lang w:val="en-US"/>
        </w:rPr>
        <w:t>LEVY, Karen E. C. The Contexts of Control: Information, Power, and Truck-Driving Work. The Information Society: An International Journal, 2015.</w:t>
      </w:r>
    </w:p>
    <w:p w14:paraId="00000025" w14:textId="77777777" w:rsidR="00B70E8D" w:rsidRPr="00877C5F" w:rsidRDefault="00000000" w:rsidP="00AB5160">
      <w:pPr>
        <w:spacing w:line="360" w:lineRule="auto"/>
        <w:jc w:val="both"/>
        <w:rPr>
          <w:rFonts w:eastAsia="Times New Roman"/>
          <w:lang w:val="en-US"/>
        </w:rPr>
      </w:pPr>
      <w:r w:rsidRPr="00877C5F">
        <w:rPr>
          <w:rFonts w:eastAsia="Times New Roman"/>
          <w:lang w:val="en-US"/>
        </w:rPr>
        <w:t>MARCUS, G. Ethnography in the World System: The emergence of multi-sited Ethnography. Annual Review of Anthropology, 24, 95-117, 1995.</w:t>
      </w:r>
    </w:p>
    <w:p w14:paraId="00000026" w14:textId="77777777" w:rsidR="00B70E8D" w:rsidRPr="00877C5F" w:rsidRDefault="00000000" w:rsidP="00AB5160">
      <w:pPr>
        <w:spacing w:line="360" w:lineRule="auto"/>
        <w:jc w:val="both"/>
        <w:rPr>
          <w:rFonts w:eastAsia="Times New Roman"/>
        </w:rPr>
      </w:pPr>
      <w:r w:rsidRPr="00877C5F">
        <w:rPr>
          <w:rFonts w:eastAsia="Times New Roman"/>
          <w:lang w:val="en-US"/>
        </w:rPr>
        <w:t xml:space="preserve">PASQUINELLI, Matteo. The eye of the master: A social history of artificial intelligence. </w:t>
      </w:r>
      <w:r w:rsidRPr="00877C5F">
        <w:rPr>
          <w:rFonts w:eastAsia="Times New Roman"/>
        </w:rPr>
        <w:t>London; New York: Verso, 2023.</w:t>
      </w:r>
    </w:p>
    <w:p w14:paraId="00000027" w14:textId="77777777" w:rsidR="00B70E8D" w:rsidRPr="00877C5F" w:rsidRDefault="00000000" w:rsidP="00AB5160">
      <w:pPr>
        <w:spacing w:line="360" w:lineRule="auto"/>
        <w:jc w:val="both"/>
        <w:rPr>
          <w:rFonts w:eastAsia="Times New Roman"/>
        </w:rPr>
      </w:pPr>
      <w:r w:rsidRPr="00877C5F">
        <w:rPr>
          <w:rFonts w:eastAsia="Times New Roman"/>
        </w:rPr>
        <w:t xml:space="preserve">SCARAMELLA, Maria </w:t>
      </w:r>
      <w:proofErr w:type="spellStart"/>
      <w:r w:rsidRPr="00877C5F">
        <w:rPr>
          <w:rFonts w:eastAsia="Times New Roman"/>
        </w:rPr>
        <w:t>Luisa</w:t>
      </w:r>
      <w:proofErr w:type="spellEnd"/>
      <w:r w:rsidRPr="00877C5F">
        <w:rPr>
          <w:rFonts w:eastAsia="Times New Roman"/>
        </w:rPr>
        <w:t>. Nessa Longa Estrada da Vida: Um Estudo Sobre as Experiências dos Caminhoneiros. Dissertação (Mestrado em Antropologia) – Universidade Estadual de Campinas, Campinas, 2004.</w:t>
      </w:r>
    </w:p>
    <w:p w14:paraId="00000028" w14:textId="77777777" w:rsidR="00B70E8D" w:rsidRPr="00877C5F" w:rsidRDefault="00000000" w:rsidP="00AB5160">
      <w:pPr>
        <w:spacing w:line="360" w:lineRule="auto"/>
        <w:jc w:val="both"/>
        <w:rPr>
          <w:rFonts w:eastAsia="Times New Roman"/>
        </w:rPr>
      </w:pPr>
      <w:r w:rsidRPr="00877C5F">
        <w:rPr>
          <w:rFonts w:eastAsia="Times New Roman"/>
        </w:rPr>
        <w:t xml:space="preserve">TELLES, Vera. </w:t>
      </w:r>
      <w:proofErr w:type="spellStart"/>
      <w:r w:rsidRPr="00877C5F">
        <w:rPr>
          <w:rFonts w:eastAsia="Times New Roman"/>
        </w:rPr>
        <w:t>Trajetórias</w:t>
      </w:r>
      <w:proofErr w:type="spellEnd"/>
      <w:r w:rsidRPr="00877C5F">
        <w:rPr>
          <w:rFonts w:eastAsia="Times New Roman"/>
        </w:rPr>
        <w:t xml:space="preserve"> urbanas: fios de uma </w:t>
      </w:r>
      <w:proofErr w:type="spellStart"/>
      <w:r w:rsidRPr="00877C5F">
        <w:rPr>
          <w:rFonts w:eastAsia="Times New Roman"/>
        </w:rPr>
        <w:t>descrição</w:t>
      </w:r>
      <w:proofErr w:type="spellEnd"/>
      <w:r w:rsidRPr="00877C5F">
        <w:rPr>
          <w:rFonts w:eastAsia="Times New Roman"/>
        </w:rPr>
        <w:t xml:space="preserve"> da cidade.  In Telles, V. &amp; </w:t>
      </w:r>
      <w:proofErr w:type="spellStart"/>
      <w:r w:rsidRPr="00877C5F">
        <w:rPr>
          <w:rFonts w:eastAsia="Times New Roman"/>
        </w:rPr>
        <w:t>Cabanes</w:t>
      </w:r>
      <w:proofErr w:type="spellEnd"/>
      <w:r w:rsidRPr="00877C5F">
        <w:rPr>
          <w:rFonts w:eastAsia="Times New Roman"/>
        </w:rPr>
        <w:t xml:space="preserve">, R. Nas tramas </w:t>
      </w:r>
      <w:proofErr w:type="gramStart"/>
      <w:r w:rsidRPr="00877C5F">
        <w:rPr>
          <w:rFonts w:eastAsia="Times New Roman"/>
        </w:rPr>
        <w:t>da  cidade</w:t>
      </w:r>
      <w:proofErr w:type="gramEnd"/>
      <w:r w:rsidRPr="00877C5F">
        <w:rPr>
          <w:rFonts w:eastAsia="Times New Roman"/>
        </w:rPr>
        <w:t xml:space="preserve">: </w:t>
      </w:r>
      <w:proofErr w:type="spellStart"/>
      <w:r w:rsidRPr="00877C5F">
        <w:rPr>
          <w:rFonts w:eastAsia="Times New Roman"/>
        </w:rPr>
        <w:t>trajetórias</w:t>
      </w:r>
      <w:proofErr w:type="spellEnd"/>
      <w:r w:rsidRPr="00877C5F">
        <w:rPr>
          <w:rFonts w:eastAsia="Times New Roman"/>
        </w:rPr>
        <w:t xml:space="preserve"> urbanas e seus </w:t>
      </w:r>
      <w:proofErr w:type="spellStart"/>
      <w:r w:rsidRPr="00877C5F">
        <w:rPr>
          <w:rFonts w:eastAsia="Times New Roman"/>
        </w:rPr>
        <w:t>territórios</w:t>
      </w:r>
      <w:proofErr w:type="spellEnd"/>
      <w:r w:rsidRPr="00877C5F">
        <w:rPr>
          <w:rFonts w:eastAsia="Times New Roman"/>
        </w:rPr>
        <w:t xml:space="preserve">. </w:t>
      </w:r>
      <w:proofErr w:type="spellStart"/>
      <w:r w:rsidRPr="00877C5F">
        <w:rPr>
          <w:rFonts w:eastAsia="Times New Roman"/>
        </w:rPr>
        <w:t>São</w:t>
      </w:r>
      <w:proofErr w:type="spellEnd"/>
      <w:r w:rsidRPr="00877C5F">
        <w:rPr>
          <w:rFonts w:eastAsia="Times New Roman"/>
        </w:rPr>
        <w:t xml:space="preserve"> Paulo: </w:t>
      </w:r>
      <w:proofErr w:type="spellStart"/>
      <w:r w:rsidRPr="00877C5F">
        <w:rPr>
          <w:rFonts w:eastAsia="Times New Roman"/>
        </w:rPr>
        <w:t>Associação</w:t>
      </w:r>
      <w:proofErr w:type="spellEnd"/>
      <w:r w:rsidRPr="00877C5F">
        <w:rPr>
          <w:rFonts w:eastAsia="Times New Roman"/>
        </w:rPr>
        <w:t xml:space="preserve"> Editorial Humanitas, 2006.</w:t>
      </w:r>
    </w:p>
    <w:p w14:paraId="00000029" w14:textId="77777777" w:rsidR="00B70E8D" w:rsidRPr="00877C5F" w:rsidRDefault="00B70E8D">
      <w:pPr>
        <w:spacing w:line="360" w:lineRule="auto"/>
        <w:ind w:firstLine="1133"/>
        <w:jc w:val="both"/>
        <w:rPr>
          <w:rFonts w:eastAsia="Times New Roman"/>
        </w:rPr>
      </w:pPr>
    </w:p>
    <w:p w14:paraId="0000002A" w14:textId="77777777" w:rsidR="00B70E8D" w:rsidRPr="00877C5F" w:rsidRDefault="00B70E8D">
      <w:pPr>
        <w:spacing w:line="360" w:lineRule="auto"/>
        <w:jc w:val="both"/>
        <w:rPr>
          <w:rFonts w:eastAsia="Times New Roman"/>
        </w:rPr>
      </w:pPr>
    </w:p>
    <w:p w14:paraId="0000002B" w14:textId="77777777" w:rsidR="00B70E8D" w:rsidRPr="00877C5F" w:rsidRDefault="00B70E8D">
      <w:pPr>
        <w:spacing w:line="360" w:lineRule="auto"/>
        <w:jc w:val="both"/>
        <w:rPr>
          <w:rFonts w:eastAsia="Times New Roman"/>
        </w:rPr>
      </w:pPr>
    </w:p>
    <w:sectPr w:rsidR="00B70E8D" w:rsidRPr="00877C5F">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F4C480A" w14:textId="77777777" w:rsidR="00443A42" w:rsidRDefault="00443A42">
      <w:pPr>
        <w:spacing w:line="240" w:lineRule="auto"/>
      </w:pPr>
      <w:r>
        <w:separator/>
      </w:r>
    </w:p>
  </w:endnote>
  <w:endnote w:type="continuationSeparator" w:id="0">
    <w:p w14:paraId="5E97799B" w14:textId="77777777" w:rsidR="00443A42" w:rsidRDefault="00443A4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629782D" w14:textId="77777777" w:rsidR="00443A42" w:rsidRDefault="00443A42">
      <w:pPr>
        <w:spacing w:line="240" w:lineRule="auto"/>
      </w:pPr>
      <w:r>
        <w:separator/>
      </w:r>
    </w:p>
  </w:footnote>
  <w:footnote w:type="continuationSeparator" w:id="0">
    <w:p w14:paraId="7057B341" w14:textId="77777777" w:rsidR="00443A42" w:rsidRDefault="00443A42">
      <w:pPr>
        <w:spacing w:line="240" w:lineRule="auto"/>
      </w:pPr>
      <w:r>
        <w:continuationSeparator/>
      </w:r>
    </w:p>
  </w:footnote>
  <w:footnote w:id="1">
    <w:p w14:paraId="0000002C" w14:textId="77777777" w:rsidR="00B70E8D" w:rsidRDefault="00000000">
      <w:pPr>
        <w:spacing w:line="240" w:lineRule="auto"/>
        <w:rPr>
          <w:sz w:val="20"/>
          <w:szCs w:val="20"/>
        </w:rPr>
      </w:pPr>
      <w:r>
        <w:rPr>
          <w:vertAlign w:val="superscript"/>
        </w:rPr>
        <w:footnoteRef/>
      </w:r>
      <w:r>
        <w:rPr>
          <w:sz w:val="20"/>
          <w:szCs w:val="20"/>
        </w:rPr>
        <w:t xml:space="preserve"> </w:t>
      </w:r>
      <w:hyperlink r:id="rId1">
        <w:r>
          <w:rPr>
            <w:color w:val="1155CC"/>
            <w:sz w:val="20"/>
            <w:szCs w:val="20"/>
            <w:u w:val="single"/>
          </w:rPr>
          <w:t>https://bv.fapesp.br/pt/pesquisador/77099/guilhermo-andre-aderaldo/</w:t>
        </w:r>
      </w:hyperlink>
      <w:r>
        <w:rPr>
          <w:sz w:val="20"/>
          <w:szCs w:val="20"/>
        </w:rPr>
        <w:t xml:space="preserve"> </w:t>
      </w:r>
    </w:p>
  </w:footnote>
  <w:footnote w:id="2">
    <w:p w14:paraId="0000002D" w14:textId="77777777" w:rsidR="00B70E8D" w:rsidRDefault="00000000">
      <w:pPr>
        <w:spacing w:line="240" w:lineRule="auto"/>
        <w:rPr>
          <w:sz w:val="20"/>
          <w:szCs w:val="20"/>
        </w:rPr>
      </w:pPr>
      <w:r>
        <w:rPr>
          <w:vertAlign w:val="superscript"/>
        </w:rPr>
        <w:footnoteRef/>
      </w:r>
      <w:r>
        <w:rPr>
          <w:sz w:val="20"/>
          <w:szCs w:val="20"/>
        </w:rPr>
        <w:t xml:space="preserve"> </w:t>
      </w:r>
      <w:hyperlink r:id="rId2">
        <w:r>
          <w:rPr>
            <w:color w:val="1155CC"/>
            <w:sz w:val="20"/>
            <w:szCs w:val="20"/>
            <w:u w:val="single"/>
          </w:rPr>
          <w:t>https://portal.abant.org.br/aba/publicacoes/publicacao-072934</w:t>
        </w:r>
      </w:hyperlink>
      <w:r>
        <w:rPr>
          <w:sz w:val="20"/>
          <w:szCs w:val="20"/>
        </w:rPr>
        <w:t xml:space="preserve"> </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0E8D"/>
    <w:rsid w:val="00126A57"/>
    <w:rsid w:val="001C130F"/>
    <w:rsid w:val="00212E5B"/>
    <w:rsid w:val="00443A42"/>
    <w:rsid w:val="0052721A"/>
    <w:rsid w:val="00780690"/>
    <w:rsid w:val="00872682"/>
    <w:rsid w:val="00877C5F"/>
    <w:rsid w:val="00936B79"/>
    <w:rsid w:val="00AB5160"/>
    <w:rsid w:val="00B70E8D"/>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A00D1D"/>
  <w15:docId w15:val="{B409F2B4-A9B8-492B-BADE-92717589F1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pt-BR" w:eastAsia="pt-B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ontepargpadro">
    <w:name w:val="Default Paragraph Font"/>
    <w:uiPriority w:val="1"/>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paragraph" w:styleId="Subttulo">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footnotes.xml.rels><?xml version="1.0" encoding="UTF-8" standalone="yes"?>
<Relationships xmlns="http://schemas.openxmlformats.org/package/2006/relationships"><Relationship Id="rId2" Type="http://schemas.openxmlformats.org/officeDocument/2006/relationships/hyperlink" Target="https://portal.abant.org.br/aba/publicacoes/publicacao-072934" TargetMode="External"/><Relationship Id="rId1" Type="http://schemas.openxmlformats.org/officeDocument/2006/relationships/hyperlink" Target="https://bv.fapesp.br/pt/pesquisador/77099/guilhermo-andre-aderald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7</Pages>
  <Words>3023</Words>
  <Characters>16330</Characters>
  <Application>Microsoft Office Word</Application>
  <DocSecurity>0</DocSecurity>
  <Lines>136</Lines>
  <Paragraphs>38</Paragraphs>
  <ScaleCrop>false</ScaleCrop>
  <Company/>
  <LinksUpToDate>false</LinksUpToDate>
  <CharactersWithSpaces>19315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isis fernandes</cp:lastModifiedBy>
  <cp:revision>5</cp:revision>
  <dcterms:created xsi:type="dcterms:W3CDTF">2024-08-28T19:46:00Z</dcterms:created>
  <dcterms:modified xsi:type="dcterms:W3CDTF">2024-09-03T15:41:00Z</dcterms:modified>
</cp:coreProperties>
</file>