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39A967" w14:textId="77777777" w:rsidR="00F65695" w:rsidRPr="003110B8" w:rsidRDefault="00000000">
      <w:pPr>
        <w:spacing w:line="360" w:lineRule="auto"/>
        <w:jc w:val="both"/>
        <w:rPr>
          <w:rFonts w:eastAsia="Times New Roman"/>
          <w:b/>
          <w:sz w:val="24"/>
          <w:szCs w:val="24"/>
          <w:lang w:val="es-419"/>
        </w:rPr>
      </w:pPr>
      <w:r w:rsidRPr="003110B8">
        <w:rPr>
          <w:rFonts w:eastAsia="Times New Roman"/>
          <w:b/>
          <w:sz w:val="24"/>
          <w:szCs w:val="24"/>
          <w:lang w:val="es-419"/>
        </w:rPr>
        <w:t xml:space="preserve">Transformándome en la sombra. </w:t>
      </w:r>
    </w:p>
    <w:p w14:paraId="7024D092" w14:textId="77777777" w:rsidR="00F65695" w:rsidRPr="003110B8" w:rsidRDefault="00000000">
      <w:pPr>
        <w:spacing w:line="360" w:lineRule="auto"/>
        <w:jc w:val="both"/>
        <w:rPr>
          <w:rFonts w:eastAsia="Times New Roman"/>
          <w:sz w:val="24"/>
          <w:szCs w:val="24"/>
          <w:lang w:val="es-419"/>
        </w:rPr>
      </w:pPr>
      <w:r w:rsidRPr="003110B8">
        <w:rPr>
          <w:rFonts w:eastAsia="Times New Roman"/>
          <w:i/>
          <w:sz w:val="24"/>
          <w:szCs w:val="24"/>
          <w:lang w:val="es-419"/>
        </w:rPr>
        <w:t xml:space="preserve">Paola Jirón </w:t>
      </w:r>
    </w:p>
    <w:p w14:paraId="4F62706B" w14:textId="77777777" w:rsidR="00F65695" w:rsidRPr="003110B8" w:rsidRDefault="00000000">
      <w:pPr>
        <w:spacing w:line="360" w:lineRule="auto"/>
        <w:jc w:val="both"/>
        <w:rPr>
          <w:rFonts w:eastAsia="Times New Roman"/>
          <w:sz w:val="24"/>
          <w:szCs w:val="24"/>
          <w:highlight w:val="white"/>
        </w:rPr>
      </w:pPr>
      <w:proofErr w:type="spellStart"/>
      <w:r w:rsidRPr="003110B8">
        <w:rPr>
          <w:rFonts w:eastAsia="Times New Roman"/>
          <w:sz w:val="24"/>
          <w:szCs w:val="24"/>
        </w:rPr>
        <w:t>Bifurcacione</w:t>
      </w:r>
      <w:r w:rsidRPr="003110B8">
        <w:rPr>
          <w:rFonts w:eastAsia="Times New Roman"/>
          <w:sz w:val="24"/>
          <w:szCs w:val="24"/>
          <w:highlight w:val="white"/>
        </w:rPr>
        <w:t>s</w:t>
      </w:r>
      <w:proofErr w:type="spellEnd"/>
      <w:r w:rsidRPr="003110B8">
        <w:rPr>
          <w:rFonts w:eastAsia="Times New Roman"/>
          <w:sz w:val="24"/>
          <w:szCs w:val="24"/>
          <w:highlight w:val="white"/>
        </w:rPr>
        <w:t xml:space="preserve">: Revista de </w:t>
      </w:r>
      <w:proofErr w:type="spellStart"/>
      <w:r w:rsidRPr="003110B8">
        <w:rPr>
          <w:rFonts w:eastAsia="Times New Roman"/>
          <w:sz w:val="24"/>
          <w:szCs w:val="24"/>
          <w:highlight w:val="white"/>
        </w:rPr>
        <w:t>Estudios</w:t>
      </w:r>
      <w:proofErr w:type="spellEnd"/>
      <w:r w:rsidRPr="003110B8">
        <w:rPr>
          <w:rFonts w:eastAsia="Times New Roman"/>
          <w:sz w:val="24"/>
          <w:szCs w:val="24"/>
          <w:highlight w:val="white"/>
        </w:rPr>
        <w:t xml:space="preserve"> </w:t>
      </w:r>
      <w:proofErr w:type="spellStart"/>
      <w:r w:rsidRPr="003110B8">
        <w:rPr>
          <w:rFonts w:eastAsia="Times New Roman"/>
          <w:sz w:val="24"/>
          <w:szCs w:val="24"/>
          <w:highlight w:val="white"/>
        </w:rPr>
        <w:t>Culturales</w:t>
      </w:r>
      <w:proofErr w:type="spellEnd"/>
      <w:r w:rsidRPr="003110B8">
        <w:rPr>
          <w:rFonts w:eastAsia="Times New Roman"/>
          <w:sz w:val="24"/>
          <w:szCs w:val="24"/>
          <w:highlight w:val="white"/>
        </w:rPr>
        <w:t xml:space="preserve"> Urbanos, n. 10 (2018), p. 1–14.</w:t>
      </w:r>
    </w:p>
    <w:p w14:paraId="4DF5AFC1" w14:textId="77777777" w:rsidR="00F65695" w:rsidRPr="003110B8" w:rsidRDefault="00F65695">
      <w:pPr>
        <w:spacing w:line="240" w:lineRule="auto"/>
        <w:jc w:val="both"/>
        <w:rPr>
          <w:rFonts w:eastAsia="Times New Roman"/>
          <w:i/>
          <w:sz w:val="24"/>
          <w:szCs w:val="24"/>
        </w:rPr>
      </w:pPr>
    </w:p>
    <w:p w14:paraId="65646F94" w14:textId="77777777" w:rsidR="00F65695" w:rsidRPr="007725A8" w:rsidRDefault="00000000">
      <w:pPr>
        <w:spacing w:line="360" w:lineRule="auto"/>
        <w:rPr>
          <w:rFonts w:eastAsia="Times New Roman"/>
        </w:rPr>
      </w:pPr>
      <w:r w:rsidRPr="007725A8">
        <w:rPr>
          <w:rFonts w:eastAsia="Times New Roman"/>
        </w:rPr>
        <w:t>Natália de Sá Ribeiro de Barros Barreto</w:t>
      </w:r>
    </w:p>
    <w:p w14:paraId="4067736F" w14:textId="0BD38655" w:rsidR="00F65695" w:rsidRPr="007725A8" w:rsidRDefault="00000000">
      <w:pPr>
        <w:spacing w:line="360" w:lineRule="auto"/>
        <w:rPr>
          <w:rFonts w:eastAsia="Times New Roman"/>
          <w:sz w:val="18"/>
          <w:szCs w:val="18"/>
        </w:rPr>
      </w:pPr>
      <w:r w:rsidRPr="007725A8">
        <w:rPr>
          <w:rFonts w:eastAsia="Times New Roman"/>
          <w:sz w:val="18"/>
          <w:szCs w:val="18"/>
        </w:rPr>
        <w:t>Mestranda em Sociologia na Universidade de São Paulo (USP)</w:t>
      </w:r>
      <w:r w:rsidR="007725A8">
        <w:rPr>
          <w:rFonts w:eastAsia="Times New Roman"/>
          <w:sz w:val="18"/>
          <w:szCs w:val="18"/>
        </w:rPr>
        <w:t xml:space="preserve">. </w:t>
      </w:r>
      <w:r w:rsidRPr="007725A8">
        <w:rPr>
          <w:rFonts w:eastAsia="Times New Roman"/>
          <w:sz w:val="18"/>
          <w:szCs w:val="18"/>
        </w:rPr>
        <w:t>E-mail: nataliabarreto@usp.br</w:t>
      </w:r>
    </w:p>
    <w:p w14:paraId="11492B57" w14:textId="77777777" w:rsidR="00F65695" w:rsidRPr="003110B8" w:rsidRDefault="00F65695" w:rsidP="003110B8">
      <w:pPr>
        <w:rPr>
          <w:rFonts w:eastAsia="Times New Roman"/>
          <w:sz w:val="24"/>
          <w:szCs w:val="24"/>
        </w:rPr>
      </w:pPr>
    </w:p>
    <w:p w14:paraId="3F106CA4" w14:textId="77777777" w:rsidR="00F65695" w:rsidRPr="007725A8" w:rsidRDefault="00000000">
      <w:pPr>
        <w:numPr>
          <w:ilvl w:val="0"/>
          <w:numId w:val="1"/>
        </w:numPr>
        <w:jc w:val="both"/>
        <w:rPr>
          <w:rFonts w:eastAsia="Times New Roman"/>
          <w:b/>
        </w:rPr>
      </w:pPr>
      <w:r w:rsidRPr="007725A8">
        <w:rPr>
          <w:rFonts w:eastAsia="Times New Roman"/>
          <w:b/>
        </w:rPr>
        <w:t>Contextualização</w:t>
      </w:r>
    </w:p>
    <w:p w14:paraId="7424A6B8" w14:textId="77777777" w:rsidR="00F65695" w:rsidRPr="007725A8" w:rsidRDefault="00F65695">
      <w:pPr>
        <w:jc w:val="both"/>
        <w:rPr>
          <w:rFonts w:eastAsia="Times New Roman"/>
        </w:rPr>
      </w:pPr>
    </w:p>
    <w:p w14:paraId="3D1CC433"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Paola </w:t>
      </w:r>
      <w:proofErr w:type="spellStart"/>
      <w:r w:rsidRPr="007725A8">
        <w:rPr>
          <w:rFonts w:eastAsia="Times New Roman"/>
        </w:rPr>
        <w:t>Jirón</w:t>
      </w:r>
      <w:proofErr w:type="spellEnd"/>
      <w:r w:rsidRPr="007725A8">
        <w:rPr>
          <w:rFonts w:eastAsia="Times New Roman"/>
        </w:rPr>
        <w:t xml:space="preserve"> é Professora Associada da Faculdade de Arquitetura e Urbanismo da Universidade do Chile e doutora em Planejamento Urbano e Regional pela London </w:t>
      </w:r>
      <w:proofErr w:type="spellStart"/>
      <w:r w:rsidRPr="007725A8">
        <w:rPr>
          <w:rFonts w:eastAsia="Times New Roman"/>
        </w:rPr>
        <w:t>School</w:t>
      </w:r>
      <w:proofErr w:type="spellEnd"/>
      <w:r w:rsidRPr="007725A8">
        <w:rPr>
          <w:rFonts w:eastAsia="Times New Roman"/>
        </w:rPr>
        <w:t xml:space="preserve"> of </w:t>
      </w:r>
      <w:proofErr w:type="spellStart"/>
      <w:r w:rsidRPr="007725A8">
        <w:rPr>
          <w:rFonts w:eastAsia="Times New Roman"/>
        </w:rPr>
        <w:t>Economics</w:t>
      </w:r>
      <w:proofErr w:type="spellEnd"/>
      <w:r w:rsidRPr="007725A8">
        <w:rPr>
          <w:rFonts w:eastAsia="Times New Roman"/>
        </w:rPr>
        <w:t xml:space="preserve"> </w:t>
      </w:r>
      <w:proofErr w:type="spellStart"/>
      <w:r w:rsidRPr="007725A8">
        <w:rPr>
          <w:rFonts w:eastAsia="Times New Roman"/>
        </w:rPr>
        <w:t>and</w:t>
      </w:r>
      <w:proofErr w:type="spellEnd"/>
      <w:r w:rsidRPr="007725A8">
        <w:rPr>
          <w:rFonts w:eastAsia="Times New Roman"/>
        </w:rPr>
        <w:t xml:space="preserve"> </w:t>
      </w:r>
      <w:proofErr w:type="spellStart"/>
      <w:r w:rsidRPr="007725A8">
        <w:rPr>
          <w:rFonts w:eastAsia="Times New Roman"/>
        </w:rPr>
        <w:t>Political</w:t>
      </w:r>
      <w:proofErr w:type="spellEnd"/>
      <w:r w:rsidRPr="007725A8">
        <w:rPr>
          <w:rFonts w:eastAsia="Times New Roman"/>
        </w:rPr>
        <w:t xml:space="preserve"> Science, no Reino Unido. Com passagens pelo Banco Mundial, ONU-Habitat e Comissão Econômica para a América Latina como consultora, atualmente coordena o Núcleo </w:t>
      </w:r>
      <w:proofErr w:type="spellStart"/>
      <w:r w:rsidRPr="007725A8">
        <w:rPr>
          <w:rFonts w:eastAsia="Times New Roman"/>
        </w:rPr>
        <w:t>Milenio</w:t>
      </w:r>
      <w:proofErr w:type="spellEnd"/>
      <w:r w:rsidRPr="007725A8">
        <w:rPr>
          <w:rFonts w:eastAsia="Times New Roman"/>
        </w:rPr>
        <w:t xml:space="preserve"> </w:t>
      </w:r>
      <w:proofErr w:type="spellStart"/>
      <w:r w:rsidRPr="007725A8">
        <w:rPr>
          <w:rFonts w:eastAsia="Times New Roman"/>
        </w:rPr>
        <w:t>Movilidades</w:t>
      </w:r>
      <w:proofErr w:type="spellEnd"/>
      <w:r w:rsidRPr="007725A8">
        <w:rPr>
          <w:rFonts w:eastAsia="Times New Roman"/>
        </w:rPr>
        <w:t xml:space="preserve"> y </w:t>
      </w:r>
      <w:proofErr w:type="spellStart"/>
      <w:r w:rsidRPr="007725A8">
        <w:rPr>
          <w:rFonts w:eastAsia="Times New Roman"/>
        </w:rPr>
        <w:t>Territorios</w:t>
      </w:r>
      <w:proofErr w:type="spellEnd"/>
      <w:r w:rsidRPr="007725A8">
        <w:rPr>
          <w:rFonts w:eastAsia="Times New Roman"/>
        </w:rPr>
        <w:t xml:space="preserve"> (MOVYT). Sua principal área de atuação concentra-se nos estudos urbanos a partir de perspectivas relacionadas à mobilidade, gênero, quotidiano e metodologias interdisciplinares.</w:t>
      </w:r>
    </w:p>
    <w:p w14:paraId="139FACF9"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Publicado originalmente em inglês, o artigo em questão integra o livro </w:t>
      </w:r>
      <w:r w:rsidRPr="007725A8">
        <w:rPr>
          <w:rFonts w:eastAsia="Times New Roman"/>
          <w:i/>
        </w:rPr>
        <w:t xml:space="preserve">Mobile Methods </w:t>
      </w:r>
      <w:r w:rsidRPr="007725A8">
        <w:rPr>
          <w:rFonts w:eastAsia="Times New Roman"/>
        </w:rPr>
        <w:t xml:space="preserve">(2011), o qual reúne textos de diversos autores que se propõem a discutir os métodos móveis e sua relação com o novo paradigma das mobilidades, num contexto no qual se tem em perspectiva o movimento como papel central na produção das realidades. A tradução do artigo em espanhol, por sua vez, foi publicada em 2012 na revista chilena </w:t>
      </w:r>
      <w:proofErr w:type="spellStart"/>
      <w:r w:rsidRPr="007725A8">
        <w:rPr>
          <w:rFonts w:eastAsia="Times New Roman"/>
          <w:i/>
        </w:rPr>
        <w:t>Bifurcaciones</w:t>
      </w:r>
      <w:proofErr w:type="spellEnd"/>
      <w:r w:rsidRPr="007725A8">
        <w:rPr>
          <w:rFonts w:eastAsia="Times New Roman"/>
        </w:rPr>
        <w:t xml:space="preserve">, cujo perfil editorial se volta para trabalhos que promovem uma reflexão crítica sobre as diferentes representações da vida urbana contemporânea e a relação entre a cidade e seus habitantes.         </w:t>
      </w:r>
    </w:p>
    <w:p w14:paraId="6FBB9B21" w14:textId="77777777" w:rsidR="00F65695" w:rsidRPr="007725A8" w:rsidRDefault="00F65695">
      <w:pPr>
        <w:ind w:firstLine="720"/>
        <w:jc w:val="both"/>
        <w:rPr>
          <w:rFonts w:eastAsia="Times New Roman"/>
        </w:rPr>
      </w:pPr>
    </w:p>
    <w:p w14:paraId="0B3B368E" w14:textId="77777777" w:rsidR="00F65695" w:rsidRPr="007725A8" w:rsidRDefault="00000000">
      <w:pPr>
        <w:numPr>
          <w:ilvl w:val="0"/>
          <w:numId w:val="1"/>
        </w:numPr>
        <w:jc w:val="both"/>
        <w:rPr>
          <w:rFonts w:eastAsia="Times New Roman"/>
          <w:b/>
        </w:rPr>
      </w:pPr>
      <w:r w:rsidRPr="007725A8">
        <w:rPr>
          <w:rFonts w:eastAsia="Times New Roman"/>
          <w:b/>
        </w:rPr>
        <w:t xml:space="preserve">Metodologia apresentada no texto: a técnica do sombreamento </w:t>
      </w:r>
    </w:p>
    <w:p w14:paraId="79A898E9" w14:textId="77777777" w:rsidR="00F65695" w:rsidRPr="007725A8" w:rsidRDefault="00F65695">
      <w:pPr>
        <w:jc w:val="both"/>
        <w:rPr>
          <w:rFonts w:eastAsia="Times New Roman"/>
          <w:b/>
        </w:rPr>
      </w:pPr>
    </w:p>
    <w:p w14:paraId="53FF0CBE"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Paola </w:t>
      </w:r>
      <w:proofErr w:type="spellStart"/>
      <w:r w:rsidRPr="007725A8">
        <w:rPr>
          <w:rFonts w:eastAsia="Times New Roman"/>
        </w:rPr>
        <w:t>Jirón</w:t>
      </w:r>
      <w:proofErr w:type="spellEnd"/>
      <w:r w:rsidRPr="007725A8">
        <w:rPr>
          <w:rFonts w:eastAsia="Times New Roman"/>
        </w:rPr>
        <w:t xml:space="preserve"> propõe uma análise fenomenológica da experiência de mobilidade na cidade de Santiago, Chile. A autora destaca a impossibilidade de o pesquisador apreender por completo a experiência de estar em movimento, sendo uma aproximação dotada de limitações que, embora não possam ser plenamente superadas, devem ser enfrentadas em um processo reflexivo quanto à metodologia aplicada.</w:t>
      </w:r>
    </w:p>
    <w:p w14:paraId="7A98B6A7"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A aproximação exige do pesquisador a movimentação ao lado das pessoas - tanto fisicamente como em interações - e, por essa razão, </w:t>
      </w:r>
      <w:proofErr w:type="spellStart"/>
      <w:r w:rsidRPr="007725A8">
        <w:rPr>
          <w:rFonts w:eastAsia="Times New Roman"/>
        </w:rPr>
        <w:t>Jirón</w:t>
      </w:r>
      <w:proofErr w:type="spellEnd"/>
      <w:r w:rsidRPr="007725A8">
        <w:rPr>
          <w:rFonts w:eastAsia="Times New Roman"/>
        </w:rPr>
        <w:t xml:space="preserve"> sugere o método etnográfico da mobilidade cotidiana desses sujeitos. Destaca-se que, além da posição do pesquisador e dos métodos aplicados serem "adaptados reflexivamente" (p. 2), é necessário ter a compreensão de que as experiências de mobilidade são múltiplas e híbridas no espaço urbano; ao contrário </w:t>
      </w:r>
      <w:r w:rsidRPr="007725A8">
        <w:rPr>
          <w:rFonts w:eastAsia="Times New Roman"/>
        </w:rPr>
        <w:lastRenderedPageBreak/>
        <w:t>das ideias de fixação e permanência, a análise urbana precisa levar em conta processos fluídos em várias escalas.</w:t>
      </w:r>
    </w:p>
    <w:p w14:paraId="4FA41882" w14:textId="77777777" w:rsidR="00F65695" w:rsidRPr="007725A8" w:rsidRDefault="00000000">
      <w:pPr>
        <w:spacing w:after="200" w:line="360" w:lineRule="auto"/>
        <w:ind w:firstLine="720"/>
        <w:jc w:val="both"/>
        <w:rPr>
          <w:rFonts w:eastAsia="Times New Roman"/>
        </w:rPr>
      </w:pPr>
      <w:proofErr w:type="spellStart"/>
      <w:r w:rsidRPr="007725A8">
        <w:rPr>
          <w:rFonts w:eastAsia="Times New Roman"/>
        </w:rPr>
        <w:t>Jirón</w:t>
      </w:r>
      <w:proofErr w:type="spellEnd"/>
      <w:r w:rsidRPr="007725A8">
        <w:rPr>
          <w:rFonts w:eastAsia="Times New Roman"/>
        </w:rPr>
        <w:t xml:space="preserve"> se vale da etnografia por ser um método que implica um investigador participando abertamente na vida diária das pessoas, por um período prolongado de tempo, observando os acontecimentos, escutando o que dizem e realizando perguntas, de modo a coletar os dados disponíveis para iluminar as questões que constituem o foco da investigação. Na etnografia, então, o pesquisador imerge em uma forma de vida coletiva para coletar dados em primeira mão. </w:t>
      </w:r>
    </w:p>
    <w:p w14:paraId="654D062C"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Uma das formas de observar práticas de mobilidade a partir do método etnográfico é a chamada etnografia </w:t>
      </w:r>
      <w:proofErr w:type="spellStart"/>
      <w:r w:rsidRPr="007725A8">
        <w:rPr>
          <w:rFonts w:eastAsia="Times New Roman"/>
        </w:rPr>
        <w:t>multilocalizada</w:t>
      </w:r>
      <w:proofErr w:type="spellEnd"/>
      <w:r w:rsidRPr="007725A8">
        <w:rPr>
          <w:rFonts w:eastAsia="Times New Roman"/>
        </w:rPr>
        <w:t xml:space="preserve">. Isto é, fazer uma investigação que não está confinada em um único lugar, mas a uma conexão de lugares cujas relações entre si são importantes, para além das relações internas. No caso de Santiago, a autora escolheu um enfoque etnográfico </w:t>
      </w:r>
      <w:proofErr w:type="spellStart"/>
      <w:r w:rsidRPr="007725A8">
        <w:rPr>
          <w:rFonts w:eastAsia="Times New Roman"/>
        </w:rPr>
        <w:t>multilocalizado</w:t>
      </w:r>
      <w:proofErr w:type="spellEnd"/>
      <w:r w:rsidRPr="007725A8">
        <w:rPr>
          <w:rFonts w:eastAsia="Times New Roman"/>
        </w:rPr>
        <w:t xml:space="preserve"> móvel, isto é, a descrição densa das rotinas diárias dos habitantes urbanos móveis, necessitando que ela seja profunda e multifacetada.</w:t>
      </w:r>
    </w:p>
    <w:p w14:paraId="56F2A2BF" w14:textId="77777777" w:rsidR="00F65695" w:rsidRPr="007725A8" w:rsidRDefault="00000000">
      <w:pPr>
        <w:spacing w:after="200" w:line="360" w:lineRule="auto"/>
        <w:ind w:firstLine="720"/>
        <w:jc w:val="both"/>
        <w:rPr>
          <w:rFonts w:eastAsia="Times New Roman"/>
          <w:i/>
        </w:rPr>
      </w:pPr>
      <w:proofErr w:type="spellStart"/>
      <w:r w:rsidRPr="007725A8">
        <w:rPr>
          <w:rFonts w:eastAsia="Times New Roman"/>
        </w:rPr>
        <w:t>Jirón</w:t>
      </w:r>
      <w:proofErr w:type="spellEnd"/>
      <w:r w:rsidRPr="007725A8">
        <w:rPr>
          <w:rFonts w:eastAsia="Times New Roman"/>
        </w:rPr>
        <w:t xml:space="preserve"> pretendia conhecer o significado que as pessoas atribuíam a sua experiência, ou seja, era fundamental que a autora entrasse em contato com seu objeto de pesquisa. Mais do que isso, interessava à </w:t>
      </w:r>
      <w:proofErr w:type="spellStart"/>
      <w:r w:rsidRPr="007725A8">
        <w:rPr>
          <w:rFonts w:eastAsia="Times New Roman"/>
        </w:rPr>
        <w:t>Jirón</w:t>
      </w:r>
      <w:proofErr w:type="spellEnd"/>
      <w:r w:rsidRPr="007725A8">
        <w:rPr>
          <w:rFonts w:eastAsia="Times New Roman"/>
        </w:rPr>
        <w:t xml:space="preserve"> compreender o que os havia levado a se mover, o que acontecia antes e depois do percurso. Com esse objetivo, foi adotada por ela a estratégia metodológica de seguir individualmente os sujeitos pesquisados em suas rotinas diárias, "observando a forma com que os participantes organizam e experimentam suas viagens, compartilhando e refletindo colaborativamente sobre sua experiência em movimento” (p. 6).</w:t>
      </w:r>
    </w:p>
    <w:p w14:paraId="355A4E48"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A autora tornou-se uma "sombra móvel" dos sujeitos analisados: ela os seguia em suas rotinas diárias de locomoção, bem como a preparação inicial para elas (se arrumar para sair de casa ao trabalho, por exemplo) e durante os momentos de viagens (como "técnicas" de entrar no ônibus lotado). O objetivo era "estar ali" nas práticas cotidianas, de modo que seguir seus movimentos era a maneira mais próxima de entender sua experiência. </w:t>
      </w:r>
    </w:p>
    <w:p w14:paraId="6479F247" w14:textId="77777777" w:rsidR="00F65695" w:rsidRPr="007725A8" w:rsidRDefault="00000000">
      <w:pPr>
        <w:spacing w:after="200" w:line="360" w:lineRule="auto"/>
        <w:ind w:firstLine="720"/>
        <w:jc w:val="both"/>
        <w:rPr>
          <w:rFonts w:eastAsia="Times New Roman"/>
        </w:rPr>
      </w:pPr>
      <w:r w:rsidRPr="007725A8">
        <w:rPr>
          <w:rFonts w:eastAsia="Times New Roman"/>
        </w:rPr>
        <w:t>A autora também construiu mapas espaço-temporais onde foi possível registrar o tempo e o lugar, permitindo uma análise do uso espacial da cidade pelas pessoas. O mapa foi complementado com as narrativas dos próprios sujeitos sobre as experiências nesses lugares, assim como nas viagens diárias e suas estratégias para tal.</w:t>
      </w:r>
    </w:p>
    <w:p w14:paraId="35506AA1" w14:textId="77777777" w:rsidR="00F65695" w:rsidRPr="007725A8" w:rsidRDefault="00000000">
      <w:pPr>
        <w:spacing w:after="200" w:line="360" w:lineRule="auto"/>
        <w:ind w:firstLine="720"/>
        <w:jc w:val="both"/>
        <w:rPr>
          <w:rFonts w:eastAsia="Times New Roman"/>
          <w:color w:val="FF0000"/>
        </w:rPr>
      </w:pPr>
      <w:r w:rsidRPr="007725A8">
        <w:rPr>
          <w:rFonts w:eastAsia="Times New Roman"/>
        </w:rPr>
        <w:t xml:space="preserve">Outra técnica utilizada em sua pesquisa foi a fotografia, empregada de duas formas: primeiro, como registro objetivo das narrativas dos sujeitos seguidos, criando uma imagem em movimento a partir da construção do espaço feito por meio do movimento – como </w:t>
      </w:r>
      <w:r w:rsidRPr="007725A8">
        <w:rPr>
          <w:rFonts w:eastAsia="Times New Roman"/>
        </w:rPr>
        <w:lastRenderedPageBreak/>
        <w:t>fotografar uma praça na qual o entrevistado afirma observar com atenção todas as manhãs do ônibus. Em segundo lugar, a foto foi usada como "foto-</w:t>
      </w:r>
      <w:proofErr w:type="spellStart"/>
      <w:r w:rsidRPr="007725A8">
        <w:rPr>
          <w:rFonts w:eastAsia="Times New Roman"/>
        </w:rPr>
        <w:t>elicitación</w:t>
      </w:r>
      <w:proofErr w:type="spellEnd"/>
      <w:r w:rsidRPr="007725A8">
        <w:rPr>
          <w:rFonts w:eastAsia="Times New Roman"/>
        </w:rPr>
        <w:t xml:space="preserve">", em que ela perdia seu caráter objetivo e ganhava subjetividade, à medida que a pesquisadora apresentava suas imagens aos entrevistados para que eles oferecessem suas descrições próprias dos espaços clicados. </w:t>
      </w:r>
    </w:p>
    <w:p w14:paraId="69177E59" w14:textId="77777777" w:rsidR="00F65695" w:rsidRPr="007725A8" w:rsidRDefault="00000000">
      <w:pPr>
        <w:numPr>
          <w:ilvl w:val="0"/>
          <w:numId w:val="1"/>
        </w:numPr>
        <w:jc w:val="both"/>
        <w:rPr>
          <w:rFonts w:eastAsia="Times New Roman"/>
          <w:b/>
        </w:rPr>
      </w:pPr>
      <w:r w:rsidRPr="007725A8">
        <w:rPr>
          <w:rFonts w:eastAsia="Times New Roman"/>
          <w:b/>
        </w:rPr>
        <w:t xml:space="preserve">Desafios metodológicos da minha pesquisa: métodos móveis e cartografia social </w:t>
      </w:r>
    </w:p>
    <w:p w14:paraId="455710B2" w14:textId="77777777" w:rsidR="00F65695" w:rsidRPr="007725A8" w:rsidRDefault="00000000">
      <w:pPr>
        <w:jc w:val="both"/>
        <w:rPr>
          <w:rFonts w:eastAsia="Times New Roman"/>
        </w:rPr>
      </w:pPr>
      <w:r w:rsidRPr="007725A8">
        <w:rPr>
          <w:rFonts w:eastAsia="Times New Roman"/>
        </w:rPr>
        <w:tab/>
      </w:r>
    </w:p>
    <w:p w14:paraId="382859E0" w14:textId="77777777" w:rsidR="00F65695" w:rsidRPr="007725A8" w:rsidRDefault="00000000">
      <w:pPr>
        <w:spacing w:line="360" w:lineRule="auto"/>
        <w:jc w:val="both"/>
        <w:rPr>
          <w:rFonts w:eastAsia="Times New Roman"/>
        </w:rPr>
      </w:pPr>
      <w:r w:rsidRPr="007725A8">
        <w:rPr>
          <w:rFonts w:eastAsia="Times New Roman"/>
        </w:rPr>
        <w:tab/>
        <w:t>Ainda que na minha atual pesquisa de mestrado sobre o público potencial da Orquestra Sinfônica da Bahia (OSBA) eu tenha em perspectiva ampliar a análise das limitações simbólicas do acesso à Orquestra, para abarcar também limitações objetivas, como a mobilidade - sobretudo em relação ao deslocamento - as leituras sobre os métodos móveis nesse primeiro momento da disciplina me remetem mais a minha experiência prévia de pesquisa e extensão no Centro Histórico de Salvador (CHS), junto ao grupo Panoramas Urbanos</w:t>
      </w:r>
      <w:r w:rsidRPr="007725A8">
        <w:rPr>
          <w:rFonts w:eastAsia="Times New Roman"/>
          <w:vertAlign w:val="superscript"/>
        </w:rPr>
        <w:footnoteReference w:id="1"/>
      </w:r>
      <w:r w:rsidRPr="007725A8">
        <w:rPr>
          <w:rFonts w:eastAsia="Times New Roman"/>
        </w:rPr>
        <w:t xml:space="preserve">.   </w:t>
      </w:r>
    </w:p>
    <w:p w14:paraId="7F0CBEB6"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No primeiro módulo da ACCS, “O Habitar em Casarões Ocupados do Centro de Salvador”, foi desenvolvida a Cartografia Social intitulada </w:t>
      </w:r>
      <w:r w:rsidRPr="007725A8">
        <w:rPr>
          <w:rFonts w:eastAsia="Times New Roman"/>
          <w:i/>
        </w:rPr>
        <w:t>Mapa Vivo: O Centro Histórico Segundo seus Moradores</w:t>
      </w:r>
      <w:r w:rsidRPr="007725A8">
        <w:rPr>
          <w:rFonts w:eastAsia="Times New Roman"/>
        </w:rPr>
        <w:t xml:space="preserve">, a qual apresenta o CHS sob o olhar das mulheres do Movimento Sem Teto da Bahia (MSTB), ocupantes dos casarões situados à Rua do Passo. </w:t>
      </w:r>
    </w:p>
    <w:p w14:paraId="26FD523E"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O </w:t>
      </w:r>
      <w:r w:rsidRPr="007725A8">
        <w:rPr>
          <w:rFonts w:eastAsia="Times New Roman"/>
          <w:i/>
        </w:rPr>
        <w:t>Mapa Vivo</w:t>
      </w:r>
      <w:r w:rsidRPr="007725A8">
        <w:rPr>
          <w:rFonts w:eastAsia="Times New Roman"/>
        </w:rPr>
        <w:t xml:space="preserve"> é um </w:t>
      </w:r>
      <w:proofErr w:type="spellStart"/>
      <w:r w:rsidRPr="007725A8">
        <w:rPr>
          <w:rFonts w:eastAsia="Times New Roman"/>
        </w:rPr>
        <w:t>contra-mapa</w:t>
      </w:r>
      <w:proofErr w:type="spellEnd"/>
      <w:r w:rsidRPr="007725A8">
        <w:rPr>
          <w:rFonts w:eastAsia="Times New Roman"/>
        </w:rPr>
        <w:t xml:space="preserve">, tendo como objetivo principal confrontar a visão estritamente turística dos mapas tradicionais - que comumente priorizam informações sobre rotas e locais atrativos para os visitantes. Tais imaginários e mapas invisibilizam a realidade dos moradores que habitam a localidade há gerações e que possuem suas formas de viver e habitar ameaçadas por um processo contínuo e sistemático de gentrificação. Assim, o </w:t>
      </w:r>
      <w:r w:rsidRPr="007725A8">
        <w:rPr>
          <w:rFonts w:eastAsia="Times New Roman"/>
          <w:i/>
        </w:rPr>
        <w:t xml:space="preserve">Mapa Vivo </w:t>
      </w:r>
      <w:r w:rsidRPr="007725A8">
        <w:rPr>
          <w:rFonts w:eastAsia="Times New Roman"/>
        </w:rPr>
        <w:t xml:space="preserve">apresenta as práticas cotidianas dos moradores do Pelourinho - as pessoas que de fato dão vida à região e que a ocupam de maneira singular, trazendo cenas do cotidiano dos moradores - por eles próprios identificadas - relacionadas às atividades de trabalho, lazer, violência e sociabilidade. </w:t>
      </w:r>
    </w:p>
    <w:p w14:paraId="5F48CD64" w14:textId="77777777" w:rsidR="00F65695" w:rsidRPr="007725A8" w:rsidRDefault="00000000">
      <w:pPr>
        <w:ind w:right="-1174"/>
        <w:jc w:val="both"/>
        <w:rPr>
          <w:rFonts w:eastAsia="Times New Roman"/>
        </w:rPr>
      </w:pPr>
      <w:r w:rsidRPr="007725A8">
        <w:rPr>
          <w:rFonts w:eastAsia="Times New Roman"/>
          <w:noProof/>
        </w:rPr>
        <w:lastRenderedPageBreak/>
        <w:drawing>
          <wp:inline distT="114300" distB="114300" distL="114300" distR="114300" wp14:anchorId="72166D0B" wp14:editId="61624005">
            <wp:extent cx="2490127" cy="289083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490127" cy="2890838"/>
                    </a:xfrm>
                    <a:prstGeom prst="rect">
                      <a:avLst/>
                    </a:prstGeom>
                    <a:ln/>
                  </pic:spPr>
                </pic:pic>
              </a:graphicData>
            </a:graphic>
          </wp:inline>
        </w:drawing>
      </w:r>
      <w:r w:rsidRPr="007725A8">
        <w:rPr>
          <w:rFonts w:eastAsia="Times New Roman"/>
        </w:rPr>
        <w:t xml:space="preserve">  </w:t>
      </w:r>
      <w:r w:rsidRPr="007725A8">
        <w:rPr>
          <w:rFonts w:eastAsia="Times New Roman"/>
          <w:noProof/>
        </w:rPr>
        <w:drawing>
          <wp:inline distT="114300" distB="114300" distL="114300" distR="114300" wp14:anchorId="113EF7EE" wp14:editId="37BA1F75">
            <wp:extent cx="3829050" cy="261121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29050" cy="2611214"/>
                    </a:xfrm>
                    <a:prstGeom prst="rect">
                      <a:avLst/>
                    </a:prstGeom>
                    <a:ln/>
                  </pic:spPr>
                </pic:pic>
              </a:graphicData>
            </a:graphic>
          </wp:inline>
        </w:drawing>
      </w:r>
    </w:p>
    <w:p w14:paraId="06FC705D" w14:textId="77777777" w:rsidR="00F65695" w:rsidRPr="007725A8" w:rsidRDefault="00000000">
      <w:pPr>
        <w:jc w:val="both"/>
        <w:rPr>
          <w:rFonts w:eastAsia="Times New Roman"/>
        </w:rPr>
      </w:pPr>
      <w:r w:rsidRPr="007725A8">
        <w:rPr>
          <w:rFonts w:eastAsia="Times New Roman"/>
          <w:b/>
        </w:rPr>
        <w:t xml:space="preserve"> Figura 1: </w:t>
      </w:r>
      <w:r w:rsidRPr="007725A8">
        <w:rPr>
          <w:rFonts w:eastAsia="Times New Roman"/>
        </w:rPr>
        <w:t>Mapa do Pelourinho, s/</w:t>
      </w:r>
      <w:proofErr w:type="gramStart"/>
      <w:r w:rsidRPr="007725A8">
        <w:rPr>
          <w:rFonts w:eastAsia="Times New Roman"/>
        </w:rPr>
        <w:t>d</w:t>
      </w:r>
      <w:proofErr w:type="gramEnd"/>
      <w:r w:rsidRPr="007725A8">
        <w:rPr>
          <w:rFonts w:eastAsia="Times New Roman"/>
        </w:rPr>
        <w:t xml:space="preserve">                                    </w:t>
      </w:r>
      <w:r w:rsidRPr="007725A8">
        <w:rPr>
          <w:rFonts w:eastAsia="Times New Roman"/>
          <w:b/>
        </w:rPr>
        <w:t xml:space="preserve">Figura 2: </w:t>
      </w:r>
      <w:r w:rsidRPr="007725A8">
        <w:rPr>
          <w:rFonts w:eastAsia="Times New Roman"/>
        </w:rPr>
        <w:t>Mapa Vivo, 2018</w:t>
      </w:r>
    </w:p>
    <w:p w14:paraId="1D6F5D01" w14:textId="77777777" w:rsidR="00F65695" w:rsidRPr="007725A8" w:rsidRDefault="00000000">
      <w:pPr>
        <w:jc w:val="both"/>
        <w:rPr>
          <w:rFonts w:eastAsia="Times New Roman"/>
        </w:rPr>
      </w:pPr>
      <w:r w:rsidRPr="007725A8">
        <w:rPr>
          <w:rFonts w:eastAsia="Times New Roman"/>
        </w:rPr>
        <w:t xml:space="preserve"> Fonte: Empresa Salvador Turismo (</w:t>
      </w:r>
      <w:proofErr w:type="spellStart"/>
      <w:proofErr w:type="gramStart"/>
      <w:r w:rsidRPr="007725A8">
        <w:rPr>
          <w:rFonts w:eastAsia="Times New Roman"/>
        </w:rPr>
        <w:t>Saltur</w:t>
      </w:r>
      <w:proofErr w:type="spellEnd"/>
      <w:r w:rsidRPr="007725A8">
        <w:rPr>
          <w:rFonts w:eastAsia="Times New Roman"/>
        </w:rPr>
        <w:t xml:space="preserve">)   </w:t>
      </w:r>
      <w:proofErr w:type="gramEnd"/>
      <w:r w:rsidRPr="007725A8">
        <w:rPr>
          <w:rFonts w:eastAsia="Times New Roman"/>
        </w:rPr>
        <w:t xml:space="preserve">                     Fonte: Acervo Panoramas Urbanos </w:t>
      </w:r>
    </w:p>
    <w:p w14:paraId="544FB233" w14:textId="77777777" w:rsidR="00F65695" w:rsidRPr="007725A8" w:rsidRDefault="00F65695">
      <w:pPr>
        <w:jc w:val="both"/>
        <w:rPr>
          <w:rFonts w:eastAsia="Times New Roman"/>
        </w:rPr>
      </w:pPr>
    </w:p>
    <w:p w14:paraId="10742945"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A base do </w:t>
      </w:r>
      <w:r w:rsidRPr="007725A8">
        <w:rPr>
          <w:rFonts w:eastAsia="Times New Roman"/>
          <w:i/>
        </w:rPr>
        <w:t>Mapa do Pelourinho</w:t>
      </w:r>
      <w:r w:rsidRPr="007725A8">
        <w:rPr>
          <w:rFonts w:eastAsia="Times New Roman"/>
        </w:rPr>
        <w:t xml:space="preserve"> distribuído pela </w:t>
      </w:r>
      <w:proofErr w:type="spellStart"/>
      <w:r w:rsidRPr="007725A8">
        <w:rPr>
          <w:rFonts w:eastAsia="Times New Roman"/>
        </w:rPr>
        <w:t>Saltur</w:t>
      </w:r>
      <w:proofErr w:type="spellEnd"/>
      <w:r w:rsidRPr="007725A8">
        <w:rPr>
          <w:rFonts w:eastAsia="Times New Roman"/>
        </w:rPr>
        <w:t xml:space="preserve"> (Figura 1) </w:t>
      </w:r>
      <w:proofErr w:type="spellStart"/>
      <w:r w:rsidRPr="007725A8">
        <w:rPr>
          <w:rFonts w:eastAsia="Times New Roman"/>
        </w:rPr>
        <w:t>foi</w:t>
      </w:r>
      <w:proofErr w:type="spellEnd"/>
      <w:r w:rsidRPr="007725A8">
        <w:rPr>
          <w:rFonts w:eastAsia="Times New Roman"/>
        </w:rPr>
        <w:t xml:space="preserve"> intencionalmente reproduzida no </w:t>
      </w:r>
      <w:r w:rsidRPr="007725A8">
        <w:rPr>
          <w:rFonts w:eastAsia="Times New Roman"/>
          <w:i/>
        </w:rPr>
        <w:t xml:space="preserve">Mapa Vivo </w:t>
      </w:r>
      <w:r w:rsidRPr="007725A8">
        <w:rPr>
          <w:rFonts w:eastAsia="Times New Roman"/>
        </w:rPr>
        <w:t xml:space="preserve">(Figura 2), mas de uma forma antitética: enquanto os casarões coloniais ganham destaque no primeiro, estes encontram-se esmaecidos no segundo, dando ênfase justamente às cenas do cotidiano e em como o Centro é composto de vida, de gente, de </w:t>
      </w:r>
      <w:r w:rsidRPr="007725A8">
        <w:rPr>
          <w:rFonts w:eastAsia="Times New Roman"/>
          <w:b/>
        </w:rPr>
        <w:t>movimento</w:t>
      </w:r>
      <w:r w:rsidRPr="007725A8">
        <w:rPr>
          <w:rFonts w:eastAsia="Times New Roman"/>
        </w:rPr>
        <w:t xml:space="preserve">. Trata-se de um deslocamento da pergunta “onde fica?”, para “por onde e como circulam?”. </w:t>
      </w:r>
    </w:p>
    <w:p w14:paraId="535FEE44"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Assim, a leitura do texto de </w:t>
      </w:r>
      <w:proofErr w:type="spellStart"/>
      <w:r w:rsidRPr="007725A8">
        <w:rPr>
          <w:rFonts w:eastAsia="Times New Roman"/>
        </w:rPr>
        <w:t>Jirón</w:t>
      </w:r>
      <w:proofErr w:type="spellEnd"/>
      <w:r w:rsidRPr="007725A8">
        <w:rPr>
          <w:rFonts w:eastAsia="Times New Roman"/>
        </w:rPr>
        <w:t xml:space="preserve"> me fez refletir sobre como o processo metodológico da elaboração do </w:t>
      </w:r>
      <w:r w:rsidRPr="007725A8">
        <w:rPr>
          <w:rFonts w:eastAsia="Times New Roman"/>
          <w:i/>
        </w:rPr>
        <w:t>Mapa Vivo</w:t>
      </w:r>
      <w:r w:rsidRPr="007725A8">
        <w:rPr>
          <w:rFonts w:eastAsia="Times New Roman"/>
        </w:rPr>
        <w:t xml:space="preserve"> - embora não tenha abordado isso de forma sistematizada - perpassou pela percepção das mobilidades em múltiplas dimensões. À época, discutíamos ativamente sobre como o mapa da </w:t>
      </w:r>
      <w:proofErr w:type="spellStart"/>
      <w:r w:rsidRPr="007725A8">
        <w:rPr>
          <w:rFonts w:eastAsia="Times New Roman"/>
        </w:rPr>
        <w:t>Saltur</w:t>
      </w:r>
      <w:proofErr w:type="spellEnd"/>
      <w:r w:rsidRPr="007725A8">
        <w:rPr>
          <w:rFonts w:eastAsia="Times New Roman"/>
        </w:rPr>
        <w:t xml:space="preserve"> tratava-se de um mapa estático não só pelo destaque nos casarões, imóveis por natureza, mas também pela ausência dos tensionamentos e disputas entre os agentes, dos deslocamentos cotidianos, da exposição das múltiplas relações que ali são estabelecidas. </w:t>
      </w:r>
    </w:p>
    <w:p w14:paraId="22449B5E"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No entanto, representar essas outras dimensões não é tarefa simples. A pergunta feita não só nessa primeira experiência de elaboração da cartografia, mas em todas as outras realizadas desde então é a seguinte: como representar movimento num meio estático? E, uma vez representadas figurativamente, como afastar a noção dos mapas tradicionais de mera localização? São perguntas para as quais não há uma resposta definitiva; elas servem mais como questões norteadoras no momento da concepção de cada cartografia. Afinal, retomando </w:t>
      </w:r>
      <w:proofErr w:type="spellStart"/>
      <w:r w:rsidRPr="007725A8">
        <w:rPr>
          <w:rFonts w:eastAsia="Times New Roman"/>
        </w:rPr>
        <w:t>Jirón</w:t>
      </w:r>
      <w:proofErr w:type="spellEnd"/>
      <w:r w:rsidRPr="007725A8">
        <w:rPr>
          <w:rFonts w:eastAsia="Times New Roman"/>
        </w:rPr>
        <w:t xml:space="preserve">, as experiências de mobilidade são múltiplas e híbridas, de modo que os métodos aplicados - de apreensão e representação - devem ser adaptados reflexivamente.   </w:t>
      </w:r>
    </w:p>
    <w:p w14:paraId="3D0937DF" w14:textId="77777777" w:rsidR="00F65695" w:rsidRPr="007725A8" w:rsidRDefault="00000000">
      <w:pPr>
        <w:spacing w:after="200" w:line="360" w:lineRule="auto"/>
        <w:ind w:firstLine="720"/>
        <w:jc w:val="both"/>
        <w:rPr>
          <w:rFonts w:eastAsia="Times New Roman"/>
        </w:rPr>
      </w:pPr>
      <w:r w:rsidRPr="007725A8">
        <w:rPr>
          <w:rFonts w:eastAsia="Times New Roman"/>
        </w:rPr>
        <w:lastRenderedPageBreak/>
        <w:t xml:space="preserve">Dito isso, o trabalho contou com as seguintes etapas: (1) familiarização da equipe de extensão e dos moradores com a cartografia social; (2) rodas de conversa; (3) visita às ocupações; (4) entrevistas em profundidade com interlocutores das rodas de conversa com narrativa de histórias de vida e </w:t>
      </w:r>
      <w:r w:rsidRPr="007725A8">
        <w:rPr>
          <w:rFonts w:eastAsia="Times New Roman"/>
          <w:b/>
        </w:rPr>
        <w:t>caminhada pelos locais onde já moraram no CHS</w:t>
      </w:r>
      <w:r w:rsidRPr="007725A8">
        <w:rPr>
          <w:rFonts w:eastAsia="Times New Roman"/>
        </w:rPr>
        <w:t xml:space="preserve">; (5) </w:t>
      </w:r>
      <w:r w:rsidRPr="007725A8">
        <w:rPr>
          <w:rFonts w:eastAsia="Times New Roman"/>
          <w:b/>
        </w:rPr>
        <w:t>sintetização das narrativas em cenas do cotidiano</w:t>
      </w:r>
      <w:r w:rsidRPr="007725A8">
        <w:rPr>
          <w:rFonts w:eastAsia="Times New Roman"/>
        </w:rPr>
        <w:t xml:space="preserve">; (6) Execução da parte gráfica. </w:t>
      </w:r>
      <w:r w:rsidRPr="007725A8">
        <w:rPr>
          <w:rFonts w:eastAsia="Times New Roman"/>
        </w:rPr>
        <w:tab/>
        <w:t xml:space="preserve"> </w:t>
      </w:r>
    </w:p>
    <w:p w14:paraId="25B12DDF"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Duas técnicas aplicadas no </w:t>
      </w:r>
      <w:r w:rsidRPr="007725A8">
        <w:rPr>
          <w:rFonts w:eastAsia="Times New Roman"/>
          <w:i/>
        </w:rPr>
        <w:t xml:space="preserve">Mapa Vivo </w:t>
      </w:r>
      <w:r w:rsidRPr="007725A8">
        <w:rPr>
          <w:rFonts w:eastAsia="Times New Roman"/>
        </w:rPr>
        <w:t xml:space="preserve">se aproximam daquelas utilizadas por </w:t>
      </w:r>
      <w:proofErr w:type="spellStart"/>
      <w:r w:rsidRPr="007725A8">
        <w:rPr>
          <w:rFonts w:eastAsia="Times New Roman"/>
        </w:rPr>
        <w:t>Jirón</w:t>
      </w:r>
      <w:proofErr w:type="spellEnd"/>
      <w:r w:rsidRPr="007725A8">
        <w:rPr>
          <w:rFonts w:eastAsia="Times New Roman"/>
        </w:rPr>
        <w:t>. Assim como os mapas construídos pela autora foram complementados com as narrativas dos próprios sujeitos sobre as experiências nos caminhos percorridos, a ACCS também o fez com os moradores com os quais foram realizadas as caminhadas</w:t>
      </w:r>
      <w:r w:rsidRPr="007725A8">
        <w:rPr>
          <w:rFonts w:eastAsia="Times New Roman"/>
          <w:vertAlign w:val="superscript"/>
        </w:rPr>
        <w:footnoteReference w:id="2"/>
      </w:r>
      <w:r w:rsidRPr="007725A8">
        <w:rPr>
          <w:rFonts w:eastAsia="Times New Roman"/>
        </w:rPr>
        <w:t xml:space="preserve">. Para sintetização das narrativas do cotidiano em imagens (posteriormente revistas, confirmadas ou ressignificadas pelos entrevistados), antes foi realizada uma reunião com todos os moradores participantes, momento em que eles localizaram na base do mapa, em versão ampliada, as cenas cotidianas (Figura 3). Se a intenção do encontro era organizar a distribuição e localização das cenas, para a surpresa da equipe, ao fim da reunião, a base do mapa estava completamente riscada e de difícil compreensão (Figura 4). </w:t>
      </w:r>
    </w:p>
    <w:p w14:paraId="19397EE8" w14:textId="77777777" w:rsidR="00F65695" w:rsidRPr="007725A8" w:rsidRDefault="00000000">
      <w:pPr>
        <w:spacing w:after="200" w:line="360" w:lineRule="auto"/>
        <w:ind w:firstLine="720"/>
        <w:jc w:val="both"/>
        <w:rPr>
          <w:rFonts w:eastAsia="Times New Roman"/>
        </w:rPr>
      </w:pPr>
      <w:r w:rsidRPr="007725A8">
        <w:rPr>
          <w:rFonts w:eastAsia="Times New Roman"/>
        </w:rPr>
        <w:t xml:space="preserve">Na minha visão, esse “esboço”, mais do que a versão final, representa com maior precisão a experiência de estar em movimento dos moradores do CHS, justamente pela sua forma caótica, em que cenas se cruzam e se sobrepõem, estando algumas delas inclusive às margens do espaço delimitado pelas construções no mapa. Nesse esboço, se verifica empiricamente a ressalva feita por </w:t>
      </w:r>
      <w:proofErr w:type="spellStart"/>
      <w:r w:rsidRPr="007725A8">
        <w:rPr>
          <w:rFonts w:eastAsia="Times New Roman"/>
        </w:rPr>
        <w:t>Jirón</w:t>
      </w:r>
      <w:proofErr w:type="spellEnd"/>
      <w:r w:rsidRPr="007725A8">
        <w:rPr>
          <w:rFonts w:eastAsia="Times New Roman"/>
        </w:rPr>
        <w:t xml:space="preserve"> no início do texto, sobre a impossibilidade </w:t>
      </w:r>
      <w:proofErr w:type="gramStart"/>
      <w:r w:rsidRPr="007725A8">
        <w:rPr>
          <w:rFonts w:eastAsia="Times New Roman"/>
        </w:rPr>
        <w:t>dos</w:t>
      </w:r>
      <w:proofErr w:type="gramEnd"/>
      <w:r w:rsidRPr="007725A8">
        <w:rPr>
          <w:rFonts w:eastAsia="Times New Roman"/>
        </w:rPr>
        <w:t xml:space="preserve"> movimentos serem captados em sua totalidade, sendo somente aproximações. </w:t>
      </w:r>
    </w:p>
    <w:p w14:paraId="4DC65B47" w14:textId="77777777" w:rsidR="00F65695" w:rsidRPr="007725A8" w:rsidRDefault="00000000">
      <w:pPr>
        <w:ind w:right="-607"/>
        <w:jc w:val="both"/>
        <w:rPr>
          <w:rFonts w:eastAsia="Times New Roman"/>
        </w:rPr>
      </w:pPr>
      <w:r w:rsidRPr="007725A8">
        <w:rPr>
          <w:rFonts w:eastAsia="Times New Roman"/>
        </w:rPr>
        <w:t xml:space="preserve">  </w:t>
      </w:r>
    </w:p>
    <w:p w14:paraId="4DA89A32" w14:textId="77777777" w:rsidR="00F65695" w:rsidRPr="007725A8" w:rsidRDefault="00000000">
      <w:pPr>
        <w:ind w:right="-749" w:hanging="708"/>
        <w:jc w:val="both"/>
        <w:rPr>
          <w:rFonts w:eastAsia="Times New Roman"/>
        </w:rPr>
      </w:pPr>
      <w:r w:rsidRPr="007725A8">
        <w:rPr>
          <w:rFonts w:eastAsia="Times New Roman"/>
          <w:noProof/>
        </w:rPr>
        <w:drawing>
          <wp:inline distT="114300" distB="114300" distL="114300" distR="114300" wp14:anchorId="7A55959B" wp14:editId="40594DCD">
            <wp:extent cx="2881313" cy="18478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881313" cy="1847850"/>
                    </a:xfrm>
                    <a:prstGeom prst="rect">
                      <a:avLst/>
                    </a:prstGeom>
                    <a:ln/>
                  </pic:spPr>
                </pic:pic>
              </a:graphicData>
            </a:graphic>
          </wp:inline>
        </w:drawing>
      </w:r>
      <w:r w:rsidRPr="007725A8">
        <w:rPr>
          <w:rFonts w:eastAsia="Times New Roman"/>
        </w:rPr>
        <w:t xml:space="preserve">           </w:t>
      </w:r>
      <w:r w:rsidRPr="007725A8">
        <w:rPr>
          <w:rFonts w:eastAsia="Times New Roman"/>
          <w:noProof/>
        </w:rPr>
        <w:drawing>
          <wp:inline distT="114300" distB="114300" distL="114300" distR="114300" wp14:anchorId="3D0A79EE" wp14:editId="55F46BBD">
            <wp:extent cx="1881268" cy="330391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rot="5400000">
                      <a:off x="0" y="0"/>
                      <a:ext cx="1881268" cy="3303919"/>
                    </a:xfrm>
                    <a:prstGeom prst="rect">
                      <a:avLst/>
                    </a:prstGeom>
                    <a:ln/>
                  </pic:spPr>
                </pic:pic>
              </a:graphicData>
            </a:graphic>
          </wp:inline>
        </w:drawing>
      </w:r>
    </w:p>
    <w:p w14:paraId="58303D1D" w14:textId="77777777" w:rsidR="00F65695" w:rsidRPr="007725A8" w:rsidRDefault="00000000">
      <w:pPr>
        <w:ind w:left="-708" w:right="-324"/>
        <w:jc w:val="both"/>
        <w:rPr>
          <w:rFonts w:eastAsia="Times New Roman"/>
        </w:rPr>
      </w:pPr>
      <w:r w:rsidRPr="007725A8">
        <w:rPr>
          <w:rFonts w:eastAsia="Times New Roman"/>
          <w:b/>
        </w:rPr>
        <w:t xml:space="preserve">Figura 3: </w:t>
      </w:r>
      <w:r w:rsidRPr="007725A8">
        <w:rPr>
          <w:rFonts w:eastAsia="Times New Roman"/>
        </w:rPr>
        <w:t xml:space="preserve">Reunião com moradores das ocupações, 2019              </w:t>
      </w:r>
      <w:r w:rsidRPr="007725A8">
        <w:rPr>
          <w:rFonts w:eastAsia="Times New Roman"/>
          <w:b/>
        </w:rPr>
        <w:t xml:space="preserve">Figura 4: </w:t>
      </w:r>
      <w:r w:rsidRPr="007725A8">
        <w:rPr>
          <w:rFonts w:eastAsia="Times New Roman"/>
        </w:rPr>
        <w:t xml:space="preserve">Esboço do </w:t>
      </w:r>
      <w:r w:rsidRPr="007725A8">
        <w:rPr>
          <w:rFonts w:eastAsia="Times New Roman"/>
          <w:i/>
        </w:rPr>
        <w:t>Mapa Vivo</w:t>
      </w:r>
      <w:r w:rsidRPr="007725A8">
        <w:rPr>
          <w:rFonts w:eastAsia="Times New Roman"/>
        </w:rPr>
        <w:t xml:space="preserve"> ao final da reunião, 2019</w:t>
      </w:r>
    </w:p>
    <w:p w14:paraId="4DA57047" w14:textId="77777777" w:rsidR="00F65695" w:rsidRPr="007725A8" w:rsidRDefault="00000000">
      <w:pPr>
        <w:ind w:left="-708"/>
        <w:jc w:val="both"/>
        <w:rPr>
          <w:rFonts w:eastAsia="Times New Roman"/>
        </w:rPr>
      </w:pPr>
      <w:r w:rsidRPr="007725A8">
        <w:rPr>
          <w:rFonts w:eastAsia="Times New Roman"/>
        </w:rPr>
        <w:lastRenderedPageBreak/>
        <w:t xml:space="preserve">Fonte: Acervo pessoal                                                                    Fonte: Acervo pessoal </w:t>
      </w:r>
    </w:p>
    <w:p w14:paraId="5ED13F77" w14:textId="77777777" w:rsidR="00F65695" w:rsidRPr="007725A8" w:rsidRDefault="00F65695">
      <w:pPr>
        <w:jc w:val="both"/>
        <w:rPr>
          <w:rFonts w:eastAsia="Times New Roman"/>
        </w:rPr>
      </w:pPr>
    </w:p>
    <w:p w14:paraId="1C7C92BF" w14:textId="77777777" w:rsidR="00F65695" w:rsidRPr="007725A8" w:rsidRDefault="00000000">
      <w:pPr>
        <w:spacing w:line="360" w:lineRule="auto"/>
        <w:ind w:firstLine="720"/>
        <w:jc w:val="both"/>
      </w:pPr>
      <w:r w:rsidRPr="007725A8">
        <w:rPr>
          <w:rFonts w:eastAsia="Times New Roman"/>
        </w:rPr>
        <w:t xml:space="preserve">Assim, a partir do contato com a disciplina e, sobretudo, com o texto de </w:t>
      </w:r>
      <w:proofErr w:type="spellStart"/>
      <w:r w:rsidRPr="007725A8">
        <w:rPr>
          <w:rFonts w:eastAsia="Times New Roman"/>
        </w:rPr>
        <w:t>Jirón</w:t>
      </w:r>
      <w:proofErr w:type="spellEnd"/>
      <w:r w:rsidRPr="007725A8">
        <w:rPr>
          <w:rFonts w:eastAsia="Times New Roman"/>
        </w:rPr>
        <w:t>, pude exercitar um olhar mais sistemático para a interseção entre o mapa produzido anos atrás e a aplicação dos métodos móveis. Mais do que isso, a leitura contribuiu para a compreensão de que a mobilidade não só integra a metodologia aplicada, como faz parte do mote da concepção do mapa.</w:t>
      </w:r>
    </w:p>
    <w:sectPr w:rsidR="00F65695" w:rsidRPr="007725A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0143C" w14:textId="77777777" w:rsidR="00C42106" w:rsidRDefault="00C42106">
      <w:pPr>
        <w:spacing w:line="240" w:lineRule="auto"/>
      </w:pPr>
      <w:r>
        <w:separator/>
      </w:r>
    </w:p>
  </w:endnote>
  <w:endnote w:type="continuationSeparator" w:id="0">
    <w:p w14:paraId="033B5B8B" w14:textId="77777777" w:rsidR="00C42106" w:rsidRDefault="00C421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71195" w14:textId="77777777" w:rsidR="00C42106" w:rsidRDefault="00C42106">
      <w:pPr>
        <w:spacing w:line="240" w:lineRule="auto"/>
      </w:pPr>
      <w:r>
        <w:separator/>
      </w:r>
    </w:p>
  </w:footnote>
  <w:footnote w:type="continuationSeparator" w:id="0">
    <w:p w14:paraId="0414610A" w14:textId="77777777" w:rsidR="00C42106" w:rsidRDefault="00C42106">
      <w:pPr>
        <w:spacing w:line="240" w:lineRule="auto"/>
      </w:pPr>
      <w:r>
        <w:continuationSeparator/>
      </w:r>
    </w:p>
  </w:footnote>
  <w:footnote w:id="1">
    <w:p w14:paraId="1900CA57" w14:textId="77777777" w:rsidR="00F65695"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Em 2018, fui aluna do primeiro módulo da Ação Curricular em Comunidade e Sociedade (ACCS) “O Habitar em Casarões Ocupados do Centro de Salvador”, ofertada pela </w:t>
      </w:r>
      <w:proofErr w:type="spellStart"/>
      <w:r>
        <w:rPr>
          <w:rFonts w:ascii="Times New Roman" w:eastAsia="Times New Roman" w:hAnsi="Times New Roman" w:cs="Times New Roman"/>
          <w:sz w:val="20"/>
          <w:szCs w:val="20"/>
        </w:rPr>
        <w:t>Profª</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Urpi</w:t>
      </w:r>
      <w:proofErr w:type="spellEnd"/>
      <w:r>
        <w:rPr>
          <w:rFonts w:ascii="Times New Roman" w:eastAsia="Times New Roman" w:hAnsi="Times New Roman" w:cs="Times New Roman"/>
          <w:sz w:val="20"/>
          <w:szCs w:val="20"/>
        </w:rPr>
        <w:t xml:space="preserve"> Montoya Uriarte, do Departamento de Antropologia da UFBA. ACCS é um componente da Universidade em que estudantes e professores de diferentes áreas desenvolvem ações de extensão em colaboração com grupos da sociedade civil. Composto por alunos egressos da Ação, o grupo Panoramas Urbanos concebe e coordena os módulos seguintes da ACCS, promove oficinas e desenvolve, de forma colaborativa, produtos que vão além do contexto acadêmico (produção disponível em: </w:t>
      </w:r>
      <w:hyperlink r:id="rId1">
        <w:r>
          <w:rPr>
            <w:rFonts w:ascii="Times New Roman" w:eastAsia="Times New Roman" w:hAnsi="Times New Roman" w:cs="Times New Roman"/>
            <w:color w:val="1155CC"/>
            <w:sz w:val="20"/>
            <w:szCs w:val="20"/>
            <w:u w:val="single"/>
          </w:rPr>
          <w:t>https://www.panoramasurbanos.com.br/</w:t>
        </w:r>
      </w:hyperlink>
      <w:r>
        <w:rPr>
          <w:rFonts w:ascii="Times New Roman" w:eastAsia="Times New Roman" w:hAnsi="Times New Roman" w:cs="Times New Roman"/>
          <w:sz w:val="20"/>
          <w:szCs w:val="20"/>
        </w:rPr>
        <w:t xml:space="preserve">). Atualmente, o grupo trabalha na montagem da exposição </w:t>
      </w:r>
      <w:r>
        <w:rPr>
          <w:rFonts w:ascii="Times New Roman" w:eastAsia="Times New Roman" w:hAnsi="Times New Roman" w:cs="Times New Roman"/>
          <w:i/>
          <w:sz w:val="20"/>
          <w:szCs w:val="20"/>
        </w:rPr>
        <w:t>Habitantes do Pelourinho: entre cotidiano, lutas, memórias e sonhos</w:t>
      </w:r>
      <w:r>
        <w:rPr>
          <w:rFonts w:ascii="Times New Roman" w:eastAsia="Times New Roman" w:hAnsi="Times New Roman" w:cs="Times New Roman"/>
          <w:sz w:val="20"/>
          <w:szCs w:val="20"/>
        </w:rPr>
        <w:t xml:space="preserve"> no Museu Afro-Brasileiro da UFBA - fruto do quinto módulo da ACCS (2023.2) - e aguarda a editoração do livro </w:t>
      </w:r>
      <w:r>
        <w:rPr>
          <w:rFonts w:ascii="Times New Roman" w:eastAsia="Times New Roman" w:hAnsi="Times New Roman" w:cs="Times New Roman"/>
          <w:i/>
          <w:sz w:val="20"/>
          <w:szCs w:val="20"/>
        </w:rPr>
        <w:t>Habitantes da Preguiça: comunidade, moradores, usuários e território no Centro de Salvador</w:t>
      </w:r>
      <w:r>
        <w:rPr>
          <w:rFonts w:ascii="Times New Roman" w:eastAsia="Times New Roman" w:hAnsi="Times New Roman" w:cs="Times New Roman"/>
          <w:sz w:val="20"/>
          <w:szCs w:val="20"/>
        </w:rPr>
        <w:t xml:space="preserve"> (no prelo), a sair pela </w:t>
      </w:r>
      <w:proofErr w:type="spellStart"/>
      <w:r>
        <w:rPr>
          <w:rFonts w:ascii="Times New Roman" w:eastAsia="Times New Roman" w:hAnsi="Times New Roman" w:cs="Times New Roman"/>
          <w:sz w:val="20"/>
          <w:szCs w:val="20"/>
        </w:rPr>
        <w:t>Edufba</w:t>
      </w:r>
      <w:proofErr w:type="spellEnd"/>
      <w:r>
        <w:rPr>
          <w:rFonts w:ascii="Times New Roman" w:eastAsia="Times New Roman" w:hAnsi="Times New Roman" w:cs="Times New Roman"/>
          <w:sz w:val="20"/>
          <w:szCs w:val="20"/>
        </w:rPr>
        <w:t xml:space="preserve"> no primeiro semestre de 2024.</w:t>
      </w:r>
    </w:p>
  </w:footnote>
  <w:footnote w:id="2">
    <w:p w14:paraId="4E5F1CAF" w14:textId="77777777" w:rsidR="00F65695"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Uma característica em comum entre muitos moradores remanescentes do CHS é a mudança relativamente constante de moradia, em função, sobretudo, da recorrência de desabamentos e desapropriações dos casarões. Fazendo registro fotográfico e de áudio, duplas de trabalho acompanhavam cada morador no trajeto até as casas por ele anteriormente habitadas, tendo como foco não só as memórias do local em si, mas as percepções do morador ao caminhar pelas ruas de Centro.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567F6C"/>
    <w:multiLevelType w:val="multilevel"/>
    <w:tmpl w:val="3EACD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96942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695"/>
    <w:rsid w:val="000E6B90"/>
    <w:rsid w:val="003110B8"/>
    <w:rsid w:val="0064214F"/>
    <w:rsid w:val="007725A8"/>
    <w:rsid w:val="007A1277"/>
    <w:rsid w:val="00C42106"/>
    <w:rsid w:val="00C46839"/>
    <w:rsid w:val="00C6026C"/>
    <w:rsid w:val="00F656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63885"/>
  <w15:docId w15:val="{E4FFE678-2299-4417-87F9-420420E55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panoramasurbanos.com.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6</Pages>
  <Words>1777</Words>
  <Characters>9598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isis fernandes</cp:lastModifiedBy>
  <cp:revision>3</cp:revision>
  <dcterms:created xsi:type="dcterms:W3CDTF">2024-08-28T19:53:00Z</dcterms:created>
  <dcterms:modified xsi:type="dcterms:W3CDTF">2024-09-03T15:54:00Z</dcterms:modified>
</cp:coreProperties>
</file>